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EE081" w14:textId="28FB7938" w:rsidR="00C31AA0" w:rsidRPr="00580AAB" w:rsidRDefault="00C31AA0" w:rsidP="00580AAB">
      <w:pPr>
        <w:tabs>
          <w:tab w:val="left" w:pos="1979"/>
        </w:tabs>
        <w:spacing w:after="180" w:line="240" w:lineRule="auto"/>
        <w:ind w:left="1979" w:hanging="1979"/>
        <w:jc w:val="left"/>
        <w:rPr>
          <w:rFonts w:ascii="Arial" w:hAnsi="Arial" w:cs="Arial"/>
          <w:b/>
          <w:bCs/>
          <w:lang w:val="en-US" w:eastAsia="en-US"/>
        </w:rPr>
      </w:pPr>
      <w:bookmarkStart w:id="0" w:name="_Hlk134728972"/>
      <w:bookmarkStart w:id="1" w:name="OLE_LINK283"/>
      <w:r w:rsidRPr="00C31AA0">
        <w:rPr>
          <w:rFonts w:ascii="Arial" w:hAnsi="Arial" w:cs="Arial"/>
          <w:b/>
          <w:bCs/>
          <w:lang w:eastAsia="en-US"/>
        </w:rPr>
        <w:t>3GPP TSG-RAN-WG2 Meeting #</w:t>
      </w:r>
      <w:r w:rsidR="00BA5B59" w:rsidRPr="00C31AA0">
        <w:rPr>
          <w:rFonts w:ascii="Arial" w:hAnsi="Arial" w:cs="Arial"/>
          <w:b/>
          <w:bCs/>
          <w:lang w:eastAsia="en-US"/>
        </w:rPr>
        <w:t>1</w:t>
      </w:r>
      <w:r w:rsidR="00BA5B59">
        <w:rPr>
          <w:rFonts w:ascii="Arial" w:hAnsi="Arial" w:cs="Arial"/>
          <w:b/>
          <w:bCs/>
          <w:lang w:eastAsia="en-US"/>
        </w:rPr>
        <w:t>30</w:t>
      </w:r>
      <w:r w:rsidRPr="00C31AA0">
        <w:rPr>
          <w:rFonts w:ascii="Arial" w:hAnsi="Arial" w:cs="Arial"/>
          <w:b/>
          <w:bCs/>
          <w:i/>
          <w:lang w:eastAsia="en-US"/>
        </w:rPr>
        <w:tab/>
      </w:r>
      <w:r>
        <w:rPr>
          <w:rFonts w:ascii="Arial" w:hAnsi="Arial" w:cs="Arial"/>
          <w:b/>
          <w:bCs/>
          <w:i/>
          <w:lang w:eastAsia="en-US"/>
        </w:rPr>
        <w:t xml:space="preserve">                                   </w:t>
      </w:r>
      <w:r w:rsidRPr="00C31AA0">
        <w:rPr>
          <w:rFonts w:ascii="Arial" w:hAnsi="Arial" w:cs="Arial"/>
          <w:b/>
          <w:bCs/>
          <w:lang w:eastAsia="en-US"/>
        </w:rPr>
        <w:t>R2</w:t>
      </w:r>
      <w:r w:rsidR="00A52FB6">
        <w:rPr>
          <w:rFonts w:ascii="Arial" w:hAnsi="Arial" w:cs="Arial"/>
          <w:b/>
          <w:bCs/>
          <w:lang w:eastAsia="en-US"/>
        </w:rPr>
        <w:t>-</w:t>
      </w:r>
      <w:r w:rsidR="0015545A" w:rsidRPr="0015545A">
        <w:rPr>
          <w:rFonts w:ascii="Arial" w:hAnsi="Arial" w:cs="Arial"/>
          <w:b/>
          <w:bCs/>
          <w:lang w:eastAsia="en-US"/>
        </w:rPr>
        <w:t>2504157</w:t>
      </w:r>
      <w:r w:rsidR="0015545A" w:rsidRPr="0015545A" w:rsidDel="0015545A">
        <w:rPr>
          <w:rFonts w:ascii="Arial" w:hAnsi="Arial" w:cs="Arial"/>
          <w:b/>
          <w:bCs/>
          <w:lang w:eastAsia="en-US"/>
        </w:rPr>
        <w:t xml:space="preserve"> </w:t>
      </w:r>
    </w:p>
    <w:p w14:paraId="31DFAF9F" w14:textId="77777777" w:rsidR="00BA5B59" w:rsidRPr="00337030" w:rsidRDefault="00BA5B59" w:rsidP="00BA5B59">
      <w:pPr>
        <w:tabs>
          <w:tab w:val="left" w:pos="1979"/>
        </w:tabs>
        <w:spacing w:after="180" w:line="240" w:lineRule="auto"/>
        <w:ind w:left="1979" w:hanging="1979"/>
        <w:jc w:val="left"/>
        <w:rPr>
          <w:rFonts w:ascii="Arial" w:hAnsi="Arial" w:cs="Arial"/>
          <w:b/>
          <w:bCs/>
          <w:lang w:val="en-US" w:eastAsia="en-US"/>
        </w:rPr>
      </w:pPr>
      <w:r w:rsidRPr="00337030">
        <w:rPr>
          <w:rFonts w:ascii="Arial" w:hAnsi="Arial" w:cs="Arial"/>
          <w:b/>
          <w:bCs/>
          <w:lang w:val="en-US" w:eastAsia="en-US"/>
        </w:rPr>
        <w:t>St. Julians, Malta, May 19</w:t>
      </w:r>
      <w:r w:rsidRPr="00337030">
        <w:rPr>
          <w:rFonts w:ascii="Arial" w:hAnsi="Arial" w:cs="Arial"/>
          <w:b/>
          <w:bCs/>
          <w:vertAlign w:val="superscript"/>
          <w:lang w:val="en-US" w:eastAsia="en-US"/>
        </w:rPr>
        <w:t>th</w:t>
      </w:r>
      <w:r w:rsidRPr="00337030">
        <w:rPr>
          <w:rFonts w:ascii="Arial" w:hAnsi="Arial" w:cs="Arial"/>
          <w:b/>
          <w:bCs/>
          <w:lang w:val="en-US" w:eastAsia="en-US"/>
        </w:rPr>
        <w:t xml:space="preserve"> – 23</w:t>
      </w:r>
      <w:r w:rsidRPr="00337030">
        <w:rPr>
          <w:rFonts w:ascii="Arial" w:hAnsi="Arial" w:cs="Arial"/>
          <w:b/>
          <w:bCs/>
          <w:vertAlign w:val="superscript"/>
          <w:lang w:val="en-US" w:eastAsia="en-US"/>
        </w:rPr>
        <w:t>rd</w:t>
      </w:r>
      <w:r w:rsidRPr="00337030">
        <w:rPr>
          <w:rFonts w:ascii="Arial" w:hAnsi="Arial" w:cs="Arial"/>
          <w:b/>
          <w:bCs/>
          <w:lang w:val="en-US" w:eastAsia="en-US"/>
        </w:rPr>
        <w:t>, 2025</w:t>
      </w:r>
    </w:p>
    <w:p w14:paraId="06D73357" w14:textId="68F75F80" w:rsidR="00003169" w:rsidRPr="00133B97" w:rsidRDefault="0041311A" w:rsidP="0041311A">
      <w:pPr>
        <w:tabs>
          <w:tab w:val="left" w:pos="1979"/>
        </w:tabs>
        <w:spacing w:after="180" w:line="240" w:lineRule="auto"/>
        <w:ind w:left="1979" w:hanging="1979"/>
        <w:jc w:val="left"/>
        <w:rPr>
          <w:rFonts w:ascii="Arial" w:eastAsia="Malgun Gothic" w:hAnsi="Arial" w:cs="Arial"/>
          <w:b/>
          <w:bCs/>
          <w:lang w:val="en-US" w:eastAsia="ko-KR"/>
        </w:rPr>
      </w:pPr>
      <w:bookmarkStart w:id="2" w:name="Source"/>
      <w:bookmarkEnd w:id="0"/>
      <w:bookmarkEnd w:id="1"/>
      <w:bookmarkEnd w:id="2"/>
      <w:r w:rsidRPr="00133B97">
        <w:rPr>
          <w:rFonts w:ascii="Arial" w:hAnsi="Arial" w:cs="Arial"/>
          <w:b/>
          <w:bCs/>
          <w:lang w:val="en-US"/>
        </w:rPr>
        <w:t>Agenda Item:</w:t>
      </w:r>
      <w:r w:rsidR="008015AB">
        <w:rPr>
          <w:rFonts w:ascii="Arial" w:hAnsi="Arial" w:cs="Arial"/>
          <w:b/>
          <w:bCs/>
          <w:lang w:val="en-US"/>
        </w:rPr>
        <w:t xml:space="preserve"> </w:t>
      </w:r>
      <w:r w:rsidR="00F83925" w:rsidRPr="00133B97">
        <w:rPr>
          <w:rFonts w:ascii="Arial" w:eastAsia="Malgun Gothic" w:hAnsi="Arial" w:cs="Arial"/>
          <w:b/>
          <w:bCs/>
          <w:lang w:val="en-US" w:eastAsia="ko-KR"/>
        </w:rPr>
        <w:t>8.</w:t>
      </w:r>
      <w:r w:rsidR="00856D8E" w:rsidRPr="00133B97">
        <w:rPr>
          <w:rFonts w:ascii="Arial" w:eastAsia="Malgun Gothic" w:hAnsi="Arial" w:cs="Arial"/>
          <w:b/>
          <w:bCs/>
          <w:lang w:val="en-US" w:eastAsia="ko-KR"/>
        </w:rPr>
        <w:t>1</w:t>
      </w:r>
      <w:r w:rsidR="00F83925" w:rsidRPr="00133B97">
        <w:rPr>
          <w:rFonts w:ascii="Arial" w:eastAsia="Malgun Gothic" w:hAnsi="Arial" w:cs="Arial"/>
          <w:b/>
          <w:bCs/>
          <w:lang w:val="en-US" w:eastAsia="ko-KR"/>
        </w:rPr>
        <w:t>.</w:t>
      </w:r>
      <w:r w:rsidR="00856D8E" w:rsidRPr="00133B97">
        <w:rPr>
          <w:rFonts w:ascii="Arial" w:eastAsia="Malgun Gothic" w:hAnsi="Arial" w:cs="Arial"/>
          <w:b/>
          <w:bCs/>
          <w:lang w:val="en-US" w:eastAsia="ko-KR"/>
        </w:rPr>
        <w:t>2.2</w:t>
      </w:r>
    </w:p>
    <w:p w14:paraId="08D94835" w14:textId="085E117A" w:rsidR="00003169" w:rsidRPr="00133B97" w:rsidRDefault="00003169" w:rsidP="00B36B96">
      <w:pPr>
        <w:tabs>
          <w:tab w:val="left" w:pos="1979"/>
        </w:tabs>
        <w:spacing w:after="180" w:line="240" w:lineRule="auto"/>
        <w:jc w:val="left"/>
        <w:rPr>
          <w:rFonts w:ascii="Arial" w:hAnsi="Arial" w:cs="Arial"/>
          <w:b/>
          <w:bCs/>
          <w:lang w:val="en-US" w:eastAsia="en-US"/>
        </w:rPr>
      </w:pPr>
      <w:r w:rsidRPr="00133B97">
        <w:rPr>
          <w:rFonts w:ascii="Arial" w:hAnsi="Arial" w:cs="Arial"/>
          <w:b/>
          <w:bCs/>
          <w:lang w:val="en-US" w:eastAsia="en-US"/>
        </w:rPr>
        <w:t xml:space="preserve">Source: </w:t>
      </w:r>
      <w:r w:rsidR="00B556F2" w:rsidRPr="00133B97">
        <w:rPr>
          <w:rFonts w:ascii="Arial" w:hAnsi="Arial" w:cs="Arial"/>
          <w:b/>
          <w:bCs/>
          <w:lang w:val="en-US" w:eastAsia="en-US"/>
        </w:rPr>
        <w:t>Sharp</w:t>
      </w:r>
    </w:p>
    <w:p w14:paraId="12B3C431" w14:textId="535B8BF5" w:rsidR="00003169" w:rsidRPr="00133B97" w:rsidRDefault="00003169" w:rsidP="00B36B96">
      <w:pPr>
        <w:tabs>
          <w:tab w:val="left" w:pos="1979"/>
        </w:tabs>
        <w:spacing w:after="180" w:line="240" w:lineRule="auto"/>
        <w:ind w:left="1979" w:hanging="1979"/>
        <w:jc w:val="left"/>
        <w:rPr>
          <w:rFonts w:ascii="Arial" w:eastAsia="Malgun Gothic" w:hAnsi="Arial" w:cs="Arial"/>
          <w:b/>
          <w:bCs/>
          <w:lang w:val="en-US" w:eastAsia="ko-KR"/>
        </w:rPr>
      </w:pPr>
      <w:r w:rsidRPr="00133B97">
        <w:rPr>
          <w:rFonts w:ascii="Arial" w:hAnsi="Arial" w:cs="Arial"/>
          <w:b/>
          <w:bCs/>
          <w:lang w:val="en-US" w:eastAsia="en-US"/>
        </w:rPr>
        <w:t>Title:</w:t>
      </w:r>
      <w:r w:rsidR="00080DD3">
        <w:rPr>
          <w:rFonts w:ascii="Arial" w:hAnsi="Arial" w:cs="Arial"/>
          <w:b/>
          <w:bCs/>
          <w:lang w:val="en-US" w:eastAsia="en-US"/>
        </w:rPr>
        <w:t xml:space="preserve"> </w:t>
      </w:r>
      <w:r w:rsidR="00080DD3" w:rsidRPr="00080DD3">
        <w:rPr>
          <w:rFonts w:ascii="Arial" w:hAnsi="Arial" w:cs="Arial"/>
          <w:b/>
          <w:bCs/>
          <w:lang w:eastAsia="en-US"/>
        </w:rPr>
        <w:t xml:space="preserve">Considerations for Functionality Activation and </w:t>
      </w:r>
      <w:r w:rsidR="00481F39">
        <w:rPr>
          <w:rFonts w:ascii="Arial" w:hAnsi="Arial" w:cs="Arial"/>
          <w:b/>
          <w:bCs/>
          <w:lang w:eastAsia="en-US"/>
        </w:rPr>
        <w:t>Reporting</w:t>
      </w:r>
      <w:r w:rsidR="00772814" w:rsidRPr="00133B97" w:rsidDel="00080DD3">
        <w:rPr>
          <w:rFonts w:ascii="Arial" w:hAnsi="Arial" w:cs="Arial"/>
          <w:b/>
          <w:bCs/>
          <w:lang w:eastAsia="en-US"/>
        </w:rPr>
        <w:t xml:space="preserve"> </w:t>
      </w:r>
    </w:p>
    <w:p w14:paraId="0E50332A" w14:textId="7A150BCB" w:rsidR="00656311" w:rsidRPr="00133B97" w:rsidRDefault="00656311" w:rsidP="00B36B96">
      <w:pPr>
        <w:tabs>
          <w:tab w:val="left" w:pos="1979"/>
        </w:tabs>
        <w:spacing w:after="180" w:line="240" w:lineRule="auto"/>
        <w:jc w:val="left"/>
        <w:rPr>
          <w:rFonts w:ascii="Arial" w:hAnsi="Arial" w:cs="Arial"/>
          <w:b/>
          <w:bCs/>
          <w:lang w:val="en-US" w:eastAsia="en-US"/>
        </w:rPr>
      </w:pPr>
      <w:r w:rsidRPr="00133B97">
        <w:rPr>
          <w:rFonts w:ascii="Arial" w:hAnsi="Arial" w:cs="Arial"/>
          <w:b/>
          <w:bCs/>
          <w:lang w:val="en-US" w:eastAsia="en-US"/>
        </w:rPr>
        <w:t>Document for:</w:t>
      </w:r>
      <w:r w:rsidR="00F35AFC" w:rsidRPr="00133B97">
        <w:rPr>
          <w:rFonts w:ascii="Arial" w:hAnsi="Arial" w:cs="Arial"/>
          <w:b/>
          <w:bCs/>
          <w:lang w:val="en-US" w:eastAsia="en-US"/>
        </w:rPr>
        <w:t xml:space="preserve"> </w:t>
      </w:r>
      <w:r w:rsidRPr="00133B97">
        <w:rPr>
          <w:rFonts w:ascii="Arial" w:hAnsi="Arial" w:cs="Arial"/>
          <w:b/>
          <w:bCs/>
          <w:lang w:val="en-US" w:eastAsia="en-US"/>
        </w:rPr>
        <w:t>Discussion</w:t>
      </w:r>
      <w:r w:rsidR="00582FF1" w:rsidRPr="00133B97">
        <w:rPr>
          <w:rFonts w:ascii="Arial" w:hAnsi="Arial" w:cs="Arial"/>
          <w:b/>
          <w:bCs/>
          <w:lang w:val="en-US" w:eastAsia="en-US"/>
        </w:rPr>
        <w:t xml:space="preserve"> </w:t>
      </w:r>
      <w:r w:rsidR="00B25D0F">
        <w:rPr>
          <w:rFonts w:ascii="Arial" w:hAnsi="Arial" w:cs="Arial"/>
          <w:b/>
          <w:bCs/>
          <w:lang w:val="en-US" w:eastAsia="en-US"/>
        </w:rPr>
        <w:t>and Decision</w:t>
      </w:r>
    </w:p>
    <w:p w14:paraId="5B893709" w14:textId="351C5ADC" w:rsidR="008C0E9D" w:rsidRPr="00220999" w:rsidRDefault="00703220" w:rsidP="005A1548">
      <w:pPr>
        <w:pStyle w:val="Heading1"/>
        <w:jc w:val="left"/>
        <w:rPr>
          <w:rFonts w:cs="Arial"/>
          <w:b/>
          <w:bCs/>
          <w:sz w:val="28"/>
          <w:szCs w:val="28"/>
        </w:rPr>
      </w:pPr>
      <w:bookmarkStart w:id="3" w:name="_Ref165266342"/>
      <w:r w:rsidRPr="00133B97">
        <w:rPr>
          <w:rFonts w:cs="Arial"/>
          <w:b/>
          <w:bCs/>
          <w:sz w:val="28"/>
          <w:szCs w:val="28"/>
        </w:rPr>
        <w:t>Introduction</w:t>
      </w:r>
      <w:bookmarkEnd w:id="3"/>
    </w:p>
    <w:p w14:paraId="504544B1" w14:textId="58262E9F" w:rsidR="00220999" w:rsidRPr="004348EE" w:rsidRDefault="00495CED" w:rsidP="00B9635E">
      <w:pPr>
        <w:spacing w:line="240" w:lineRule="auto"/>
        <w:rPr>
          <w:rFonts w:ascii="Arial" w:eastAsia="Malgun Gothic" w:hAnsi="Arial" w:cs="Arial"/>
          <w:szCs w:val="22"/>
          <w:lang w:val="en-US" w:eastAsia="ko-KR"/>
        </w:rPr>
      </w:pPr>
      <w:r w:rsidRPr="004348EE">
        <w:rPr>
          <w:rFonts w:ascii="Arial" w:hAnsi="Arial" w:cs="Arial"/>
          <w:szCs w:val="22"/>
          <w:lang w:val="en-US"/>
        </w:rPr>
        <w:t xml:space="preserve">In </w:t>
      </w:r>
      <w:r w:rsidRPr="004348EE">
        <w:rPr>
          <w:rFonts w:ascii="Arial" w:eastAsia="Malgun Gothic" w:hAnsi="Arial" w:cs="Arial"/>
          <w:szCs w:val="22"/>
          <w:lang w:val="en-US" w:eastAsia="ko-KR"/>
        </w:rPr>
        <w:t>RAN2#129, following agreements were made [</w:t>
      </w:r>
      <w:r w:rsidR="00C06462" w:rsidRPr="004348EE">
        <w:rPr>
          <w:rFonts w:ascii="Arial" w:eastAsia="Malgun Gothic" w:hAnsi="Arial" w:cs="Arial"/>
          <w:szCs w:val="22"/>
          <w:lang w:val="en-US" w:eastAsia="ko-KR"/>
        </w:rPr>
        <w:t>1</w:t>
      </w:r>
      <w:r w:rsidRPr="004348EE">
        <w:rPr>
          <w:rFonts w:ascii="Arial" w:eastAsia="Malgun Gothic" w:hAnsi="Arial" w:cs="Arial"/>
          <w:szCs w:val="22"/>
          <w:lang w:val="en-US" w:eastAsia="ko-KR"/>
        </w:rPr>
        <w:t>]:</w:t>
      </w:r>
    </w:p>
    <w:p w14:paraId="5E74C3AD" w14:textId="77777777" w:rsidR="0039784C" w:rsidRPr="00337030" w:rsidRDefault="0039784C" w:rsidP="0039784C">
      <w:pPr>
        <w:pStyle w:val="Doc-text2"/>
        <w:pBdr>
          <w:top w:val="single" w:sz="4" w:space="1" w:color="auto"/>
          <w:left w:val="single" w:sz="4" w:space="1" w:color="auto"/>
          <w:bottom w:val="single" w:sz="4" w:space="1" w:color="auto"/>
          <w:right w:val="single" w:sz="4" w:space="1" w:color="auto"/>
        </w:pBdr>
        <w:ind w:left="363"/>
        <w:rPr>
          <w:b/>
          <w:bCs/>
          <w:sz w:val="22"/>
          <w:szCs w:val="22"/>
        </w:rPr>
      </w:pPr>
      <w:r w:rsidRPr="00337030">
        <w:rPr>
          <w:b/>
          <w:bCs/>
          <w:sz w:val="22"/>
          <w:szCs w:val="22"/>
        </w:rPr>
        <w:t>Agreements</w:t>
      </w:r>
    </w:p>
    <w:p w14:paraId="4083BEA8" w14:textId="77777777" w:rsidR="0039784C" w:rsidRPr="00337030" w:rsidRDefault="0039784C" w:rsidP="004D032A">
      <w:pPr>
        <w:pStyle w:val="ListParagraph"/>
        <w:numPr>
          <w:ilvl w:val="0"/>
          <w:numId w:val="41"/>
        </w:numPr>
        <w:pBdr>
          <w:top w:val="single" w:sz="4" w:space="1" w:color="auto"/>
          <w:left w:val="single" w:sz="4" w:space="1" w:color="auto"/>
          <w:bottom w:val="single" w:sz="4" w:space="1" w:color="auto"/>
          <w:right w:val="single" w:sz="4" w:space="1" w:color="auto"/>
        </w:pBdr>
        <w:ind w:firstLineChars="0"/>
        <w:rPr>
          <w:rFonts w:ascii="Arial" w:eastAsia="MS Mincho" w:hAnsi="Arial"/>
          <w:bCs/>
          <w:sz w:val="22"/>
          <w:szCs w:val="22"/>
        </w:rPr>
      </w:pPr>
      <w:r w:rsidRPr="00337030">
        <w:rPr>
          <w:rFonts w:ascii="Arial" w:eastAsia="MS Mincho" w:hAnsi="Arial"/>
          <w:bCs/>
          <w:sz w:val="22"/>
          <w:szCs w:val="22"/>
        </w:rPr>
        <w:t xml:space="preserve">Inference configuration/parameters can be signalled in step 3 and/or Inference configuration can be signalled in step 5 (i.e. option a and option b from RAN1).   </w:t>
      </w:r>
    </w:p>
    <w:p w14:paraId="05BDB78A" w14:textId="77777777" w:rsidR="004D032A" w:rsidRDefault="0039784C" w:rsidP="004D032A">
      <w:pPr>
        <w:pStyle w:val="Agreement"/>
        <w:numPr>
          <w:ilvl w:val="0"/>
          <w:numId w:val="41"/>
        </w:numPr>
        <w:pBdr>
          <w:top w:val="single" w:sz="4" w:space="1" w:color="auto"/>
          <w:left w:val="single" w:sz="4" w:space="1" w:color="auto"/>
          <w:bottom w:val="single" w:sz="4" w:space="1" w:color="auto"/>
          <w:right w:val="single" w:sz="4" w:space="1" w:color="auto"/>
        </w:pBdr>
        <w:rPr>
          <w:b w:val="0"/>
          <w:bCs/>
          <w:sz w:val="22"/>
          <w:szCs w:val="22"/>
        </w:rPr>
      </w:pPr>
      <w:r w:rsidRPr="004D032A">
        <w:rPr>
          <w:b w:val="0"/>
          <w:bCs/>
          <w:sz w:val="22"/>
          <w:szCs w:val="22"/>
          <w:highlight w:val="cyan"/>
        </w:rPr>
        <w:t>The full inference configuration is sent in CSI-ReportConfig.</w:t>
      </w:r>
      <w:r w:rsidRPr="00337030">
        <w:rPr>
          <w:b w:val="0"/>
          <w:bCs/>
          <w:sz w:val="22"/>
          <w:szCs w:val="22"/>
        </w:rPr>
        <w:t xml:space="preserve"> </w:t>
      </w:r>
    </w:p>
    <w:p w14:paraId="47EC4BF4" w14:textId="35652EB5" w:rsidR="0039784C" w:rsidRPr="004D032A" w:rsidRDefault="0039784C" w:rsidP="004D032A">
      <w:pPr>
        <w:pStyle w:val="Agreement"/>
        <w:numPr>
          <w:ilvl w:val="0"/>
          <w:numId w:val="41"/>
        </w:numPr>
        <w:pBdr>
          <w:top w:val="single" w:sz="4" w:space="1" w:color="auto"/>
          <w:left w:val="single" w:sz="4" w:space="1" w:color="auto"/>
          <w:bottom w:val="single" w:sz="4" w:space="1" w:color="auto"/>
          <w:right w:val="single" w:sz="4" w:space="1" w:color="auto"/>
        </w:pBdr>
        <w:rPr>
          <w:b w:val="0"/>
          <w:bCs/>
          <w:sz w:val="22"/>
          <w:szCs w:val="22"/>
        </w:rPr>
      </w:pPr>
      <w:r w:rsidRPr="004D032A">
        <w:rPr>
          <w:b w:val="0"/>
          <w:bCs/>
          <w:sz w:val="22"/>
          <w:szCs w:val="22"/>
          <w:highlight w:val="cyan"/>
        </w:rPr>
        <w:t>Upon receiving a full inference configuration, the UE sends the initial applicability report in RRCReconfigurationComplete. UAI can be sent to update applicability.</w:t>
      </w:r>
    </w:p>
    <w:p w14:paraId="08A15DA9" w14:textId="1F98B9E7" w:rsidR="0049356B" w:rsidRPr="00337030" w:rsidRDefault="0049356B" w:rsidP="004D032A">
      <w:pPr>
        <w:pStyle w:val="Agreement"/>
        <w:numPr>
          <w:ilvl w:val="0"/>
          <w:numId w:val="41"/>
        </w:numPr>
        <w:pBdr>
          <w:top w:val="single" w:sz="4" w:space="1" w:color="auto"/>
          <w:left w:val="single" w:sz="4" w:space="1" w:color="auto"/>
          <w:bottom w:val="single" w:sz="4" w:space="1" w:color="auto"/>
          <w:right w:val="single" w:sz="4" w:space="1" w:color="auto"/>
        </w:pBdr>
        <w:rPr>
          <w:b w:val="0"/>
          <w:bCs/>
          <w:sz w:val="22"/>
          <w:szCs w:val="22"/>
        </w:rPr>
      </w:pPr>
      <w:r w:rsidRPr="00337030">
        <w:rPr>
          <w:b w:val="0"/>
          <w:bCs/>
          <w:sz w:val="22"/>
          <w:szCs w:val="22"/>
        </w:rPr>
        <w:t xml:space="preserve">FFS </w:t>
      </w:r>
      <w:r w:rsidR="00D73567" w:rsidRPr="00337030">
        <w:rPr>
          <w:b w:val="0"/>
          <w:bCs/>
          <w:sz w:val="22"/>
          <w:szCs w:val="22"/>
        </w:rPr>
        <w:t>signalling</w:t>
      </w:r>
      <w:r w:rsidRPr="00337030">
        <w:rPr>
          <w:b w:val="0"/>
          <w:bCs/>
          <w:sz w:val="22"/>
          <w:szCs w:val="22"/>
        </w:rPr>
        <w:t xml:space="preserve"> details for option B (e.g. whether it is </w:t>
      </w:r>
      <w:r w:rsidR="00D73567" w:rsidRPr="00337030">
        <w:rPr>
          <w:b w:val="0"/>
          <w:bCs/>
          <w:sz w:val="22"/>
          <w:szCs w:val="22"/>
        </w:rPr>
        <w:t>signalling</w:t>
      </w:r>
      <w:r w:rsidRPr="00337030">
        <w:rPr>
          <w:b w:val="0"/>
          <w:bCs/>
          <w:sz w:val="22"/>
          <w:szCs w:val="22"/>
        </w:rPr>
        <w:t xml:space="preserve"> in CSI-Report Config or </w:t>
      </w:r>
      <w:proofErr w:type="spellStart"/>
      <w:r w:rsidRPr="00337030">
        <w:rPr>
          <w:b w:val="0"/>
          <w:bCs/>
          <w:sz w:val="22"/>
          <w:szCs w:val="22"/>
        </w:rPr>
        <w:t>otherconfig</w:t>
      </w:r>
      <w:proofErr w:type="spellEnd"/>
      <w:r w:rsidRPr="00337030">
        <w:rPr>
          <w:b w:val="0"/>
          <w:bCs/>
          <w:sz w:val="22"/>
          <w:szCs w:val="22"/>
        </w:rPr>
        <w:t>)</w:t>
      </w:r>
    </w:p>
    <w:p w14:paraId="1CBED4E4" w14:textId="77777777" w:rsidR="001D2539" w:rsidRPr="004348EE" w:rsidRDefault="001D2539" w:rsidP="001D2539">
      <w:pPr>
        <w:rPr>
          <w:rFonts w:ascii="Arial" w:hAnsi="Arial" w:cs="Arial"/>
          <w:szCs w:val="22"/>
        </w:rPr>
      </w:pPr>
    </w:p>
    <w:p w14:paraId="3D7FA5E2" w14:textId="7733A1BF" w:rsidR="001D2539" w:rsidRPr="004348EE" w:rsidRDefault="001D2539" w:rsidP="001D2539">
      <w:pPr>
        <w:rPr>
          <w:rFonts w:ascii="Arial" w:hAnsi="Arial" w:cs="Arial"/>
          <w:szCs w:val="22"/>
        </w:rPr>
      </w:pPr>
      <w:r w:rsidRPr="004348EE">
        <w:rPr>
          <w:rFonts w:ascii="Arial" w:hAnsi="Arial" w:cs="Arial"/>
          <w:szCs w:val="22"/>
          <w:lang w:val="en-US"/>
        </w:rPr>
        <w:t xml:space="preserve">In </w:t>
      </w:r>
      <w:r w:rsidRPr="004348EE">
        <w:rPr>
          <w:rFonts w:ascii="Arial" w:eastAsia="Malgun Gothic" w:hAnsi="Arial" w:cs="Arial"/>
          <w:szCs w:val="22"/>
          <w:lang w:val="en-US" w:eastAsia="ko-KR"/>
        </w:rPr>
        <w:t>RAN2#129bis, following agreements were made [2]:</w:t>
      </w:r>
    </w:p>
    <w:p w14:paraId="2B3BF96B" w14:textId="77777777" w:rsidR="001D2539" w:rsidRPr="00337030" w:rsidRDefault="001D2539" w:rsidP="00CB1FBF">
      <w:pPr>
        <w:pStyle w:val="Agreement"/>
        <w:numPr>
          <w:ilvl w:val="0"/>
          <w:numId w:val="0"/>
        </w:numPr>
        <w:pBdr>
          <w:top w:val="single" w:sz="4" w:space="1" w:color="auto"/>
          <w:left w:val="single" w:sz="4" w:space="4" w:color="auto"/>
          <w:bottom w:val="single" w:sz="4" w:space="1" w:color="auto"/>
          <w:right w:val="single" w:sz="4" w:space="4" w:color="auto"/>
        </w:pBdr>
        <w:ind w:left="360" w:hanging="360"/>
        <w:rPr>
          <w:sz w:val="22"/>
          <w:szCs w:val="22"/>
        </w:rPr>
      </w:pPr>
      <w:r w:rsidRPr="00337030">
        <w:rPr>
          <w:sz w:val="22"/>
          <w:szCs w:val="22"/>
        </w:rPr>
        <w:t xml:space="preserve">Agreements on applicability reporting </w:t>
      </w:r>
    </w:p>
    <w:p w14:paraId="286227F4" w14:textId="77777777" w:rsidR="004D032A" w:rsidRDefault="001D2539" w:rsidP="004D032A">
      <w:pPr>
        <w:pStyle w:val="Agreement"/>
        <w:numPr>
          <w:ilvl w:val="0"/>
          <w:numId w:val="35"/>
        </w:numPr>
        <w:pBdr>
          <w:top w:val="single" w:sz="4" w:space="1" w:color="auto"/>
          <w:left w:val="single" w:sz="4" w:space="4" w:color="auto"/>
          <w:bottom w:val="single" w:sz="4" w:space="1" w:color="auto"/>
          <w:right w:val="single" w:sz="4" w:space="4" w:color="auto"/>
        </w:pBdr>
        <w:tabs>
          <w:tab w:val="clear" w:pos="1619"/>
          <w:tab w:val="num" w:pos="360"/>
        </w:tabs>
        <w:ind w:left="360"/>
        <w:rPr>
          <w:b w:val="0"/>
          <w:bCs/>
          <w:sz w:val="22"/>
          <w:szCs w:val="22"/>
        </w:rPr>
      </w:pPr>
      <w:r w:rsidRPr="00337030">
        <w:rPr>
          <w:b w:val="0"/>
          <w:bCs/>
          <w:sz w:val="22"/>
          <w:szCs w:val="22"/>
        </w:rPr>
        <w:t>Together with inapplicability reporting, UE further indicates a simple cause value of inapplicability FFS how to define this simple cause related to model availability and how we capture it in the spec</w:t>
      </w:r>
    </w:p>
    <w:p w14:paraId="3C184A11" w14:textId="6AA072D4" w:rsidR="001D2539" w:rsidRPr="004D032A" w:rsidRDefault="001D2539" w:rsidP="004D032A">
      <w:pPr>
        <w:pStyle w:val="Agreement"/>
        <w:numPr>
          <w:ilvl w:val="0"/>
          <w:numId w:val="35"/>
        </w:numPr>
        <w:pBdr>
          <w:top w:val="single" w:sz="4" w:space="1" w:color="auto"/>
          <w:left w:val="single" w:sz="4" w:space="4" w:color="auto"/>
          <w:bottom w:val="single" w:sz="4" w:space="1" w:color="auto"/>
          <w:right w:val="single" w:sz="4" w:space="4" w:color="auto"/>
        </w:pBdr>
        <w:tabs>
          <w:tab w:val="clear" w:pos="1619"/>
          <w:tab w:val="num" w:pos="360"/>
        </w:tabs>
        <w:ind w:left="360"/>
        <w:rPr>
          <w:b w:val="0"/>
          <w:bCs/>
          <w:sz w:val="22"/>
          <w:szCs w:val="22"/>
        </w:rPr>
      </w:pPr>
      <w:r w:rsidRPr="004D032A">
        <w:rPr>
          <w:b w:val="0"/>
          <w:bCs/>
          <w:sz w:val="22"/>
          <w:szCs w:val="22"/>
          <w:highlight w:val="cyan"/>
        </w:rPr>
        <w:t>Upon receiving one or more full inference configuration(s) via RRCReconfiguration message, UE shall maintain all the full inference configuration(s) no matter the full inference configuration is applicable or inapplicable until the network releases it explicitly.</w:t>
      </w:r>
    </w:p>
    <w:p w14:paraId="0ADE5475" w14:textId="77777777" w:rsidR="001D2539" w:rsidRPr="00337030" w:rsidRDefault="001D2539" w:rsidP="00CB1FBF">
      <w:pPr>
        <w:pStyle w:val="Agreement"/>
        <w:numPr>
          <w:ilvl w:val="0"/>
          <w:numId w:val="35"/>
        </w:numPr>
        <w:pBdr>
          <w:top w:val="single" w:sz="4" w:space="1" w:color="auto"/>
          <w:left w:val="single" w:sz="4" w:space="4" w:color="auto"/>
          <w:bottom w:val="single" w:sz="4" w:space="1" w:color="auto"/>
          <w:right w:val="single" w:sz="4" w:space="4" w:color="auto"/>
        </w:pBdr>
        <w:tabs>
          <w:tab w:val="clear" w:pos="1619"/>
          <w:tab w:val="num" w:pos="779"/>
        </w:tabs>
        <w:ind w:left="360"/>
        <w:rPr>
          <w:b w:val="0"/>
          <w:bCs/>
          <w:sz w:val="22"/>
          <w:szCs w:val="22"/>
        </w:rPr>
      </w:pPr>
      <w:r w:rsidRPr="00337030">
        <w:rPr>
          <w:b w:val="0"/>
          <w:bCs/>
          <w:sz w:val="22"/>
          <w:szCs w:val="22"/>
        </w:rPr>
        <w:t>No prohibit timer is introduced</w:t>
      </w:r>
    </w:p>
    <w:p w14:paraId="1661BE0F" w14:textId="77777777" w:rsidR="001D2539" w:rsidRPr="004348EE" w:rsidRDefault="001D2539" w:rsidP="005A1548">
      <w:pPr>
        <w:rPr>
          <w:rFonts w:ascii="Arial" w:hAnsi="Arial" w:cs="Arial"/>
          <w:szCs w:val="22"/>
        </w:rPr>
      </w:pPr>
    </w:p>
    <w:p w14:paraId="6A72A8C1" w14:textId="748A7BFE" w:rsidR="00CA5E62" w:rsidRDefault="003463F4" w:rsidP="005A1548">
      <w:pPr>
        <w:rPr>
          <w:rFonts w:ascii="Arial" w:hAnsi="Arial" w:cs="Arial"/>
          <w:szCs w:val="22"/>
        </w:rPr>
      </w:pPr>
      <w:r w:rsidRPr="003463F4">
        <w:rPr>
          <w:rFonts w:ascii="Arial" w:hAnsi="Arial" w:cs="Arial"/>
          <w:szCs w:val="22"/>
        </w:rPr>
        <w:t xml:space="preserve">In this </w:t>
      </w:r>
      <w:r>
        <w:rPr>
          <w:rFonts w:ascii="Arial" w:hAnsi="Arial" w:cs="Arial"/>
          <w:szCs w:val="22"/>
        </w:rPr>
        <w:t>tdoc,</w:t>
      </w:r>
      <w:r w:rsidRPr="003463F4">
        <w:rPr>
          <w:rFonts w:ascii="Arial" w:hAnsi="Arial" w:cs="Arial"/>
          <w:szCs w:val="22"/>
        </w:rPr>
        <w:t xml:space="preserve"> we discuss FFS topics based on RAN1 agreements [</w:t>
      </w:r>
      <w:r w:rsidR="007306D7">
        <w:rPr>
          <w:rFonts w:ascii="Arial" w:hAnsi="Arial" w:cs="Arial"/>
          <w:szCs w:val="22"/>
        </w:rPr>
        <w:t>3</w:t>
      </w:r>
      <w:r w:rsidRPr="003463F4">
        <w:rPr>
          <w:rFonts w:ascii="Arial" w:hAnsi="Arial" w:cs="Arial"/>
          <w:szCs w:val="22"/>
        </w:rPr>
        <w:t>] regarding whether additional information, alongside</w:t>
      </w:r>
      <w:r w:rsidR="003A5105">
        <w:rPr>
          <w:rFonts w:ascii="Arial" w:hAnsi="Arial" w:cs="Arial"/>
          <w:szCs w:val="22"/>
        </w:rPr>
        <w:t xml:space="preserve"> functionality</w:t>
      </w:r>
      <w:r w:rsidRPr="003463F4">
        <w:rPr>
          <w:rFonts w:ascii="Arial" w:hAnsi="Arial" w:cs="Arial"/>
          <w:szCs w:val="22"/>
        </w:rPr>
        <w:t xml:space="preserve"> applicability, needs to be reported to the network. Specifically, we address scenarios</w:t>
      </w:r>
      <w:r w:rsidR="003A5105">
        <w:rPr>
          <w:rFonts w:ascii="Arial" w:hAnsi="Arial" w:cs="Arial"/>
          <w:szCs w:val="22"/>
        </w:rPr>
        <w:t>/issues</w:t>
      </w:r>
      <w:r w:rsidRPr="003463F4">
        <w:rPr>
          <w:rFonts w:ascii="Arial" w:hAnsi="Arial" w:cs="Arial"/>
          <w:szCs w:val="22"/>
        </w:rPr>
        <w:t xml:space="preserve"> where the UE may indicate its preferred configuration(s) to the network, while the network may also provide either preferred or default configurations</w:t>
      </w:r>
      <w:r w:rsidR="00180C8E">
        <w:rPr>
          <w:rFonts w:ascii="Arial" w:hAnsi="Arial" w:cs="Arial"/>
          <w:szCs w:val="22"/>
        </w:rPr>
        <w:t xml:space="preserve"> to the UE</w:t>
      </w:r>
      <w:r w:rsidRPr="003463F4">
        <w:rPr>
          <w:rFonts w:ascii="Arial" w:hAnsi="Arial" w:cs="Arial"/>
          <w:szCs w:val="22"/>
        </w:rPr>
        <w:t>, such as a preferred CSI-</w:t>
      </w:r>
      <w:r w:rsidRPr="00337030">
        <w:rPr>
          <w:rFonts w:ascii="Arial" w:hAnsi="Arial" w:cs="Arial"/>
          <w:i/>
          <w:iCs/>
          <w:szCs w:val="22"/>
        </w:rPr>
        <w:t>ReportConfig,</w:t>
      </w:r>
      <w:r w:rsidRPr="003463F4">
        <w:rPr>
          <w:rFonts w:ascii="Arial" w:hAnsi="Arial" w:cs="Arial"/>
          <w:szCs w:val="22"/>
        </w:rPr>
        <w:t xml:space="preserve"> within the functionality or inference configuration.</w:t>
      </w:r>
      <w:r w:rsidR="003836DC" w:rsidRPr="003836DC">
        <w:rPr>
          <w:rFonts w:ascii="Arial" w:hAnsi="Arial" w:cs="Arial"/>
          <w:szCs w:val="22"/>
        </w:rPr>
        <w:t xml:space="preserve"> </w:t>
      </w:r>
      <w:r w:rsidR="00180C8E">
        <w:rPr>
          <w:rFonts w:ascii="Arial" w:hAnsi="Arial" w:cs="Arial"/>
          <w:szCs w:val="22"/>
        </w:rPr>
        <w:t xml:space="preserve">Such information </w:t>
      </w:r>
      <w:r w:rsidR="008322F3">
        <w:rPr>
          <w:rFonts w:ascii="Arial" w:hAnsi="Arial" w:cs="Arial"/>
          <w:szCs w:val="22"/>
        </w:rPr>
        <w:t xml:space="preserve">may enable </w:t>
      </w:r>
      <w:r w:rsidR="00180C8E" w:rsidRPr="00180C8E">
        <w:rPr>
          <w:rFonts w:ascii="Arial" w:hAnsi="Arial" w:cs="Arial"/>
          <w:szCs w:val="22"/>
        </w:rPr>
        <w:t>the network in selecting and activating a stable configuration at the UE</w:t>
      </w:r>
    </w:p>
    <w:p w14:paraId="709F91AE" w14:textId="65DC9BC3" w:rsidR="00792767" w:rsidRDefault="003836DC" w:rsidP="005A1548">
      <w:pPr>
        <w:rPr>
          <w:rFonts w:ascii="Arial" w:hAnsi="Arial" w:cs="Arial"/>
        </w:rPr>
      </w:pPr>
      <w:r w:rsidRPr="003836DC">
        <w:rPr>
          <w:rFonts w:ascii="Arial" w:hAnsi="Arial" w:cs="Arial"/>
          <w:szCs w:val="22"/>
        </w:rPr>
        <w:t xml:space="preserve">Additionally, </w:t>
      </w:r>
      <w:r>
        <w:rPr>
          <w:rFonts w:ascii="Arial" w:hAnsi="Arial" w:cs="Arial"/>
          <w:szCs w:val="22"/>
        </w:rPr>
        <w:t xml:space="preserve">in this tdoc we </w:t>
      </w:r>
      <w:r w:rsidR="0014284A">
        <w:rPr>
          <w:rFonts w:ascii="Arial" w:hAnsi="Arial" w:cs="Arial"/>
          <w:szCs w:val="22"/>
        </w:rPr>
        <w:t>discuss,</w:t>
      </w:r>
      <w:r>
        <w:rPr>
          <w:rFonts w:ascii="Arial" w:hAnsi="Arial" w:cs="Arial"/>
          <w:szCs w:val="22"/>
        </w:rPr>
        <w:t xml:space="preserve"> and </w:t>
      </w:r>
      <w:r w:rsidRPr="003836DC">
        <w:rPr>
          <w:rFonts w:ascii="Arial" w:hAnsi="Arial" w:cs="Arial"/>
          <w:szCs w:val="22"/>
        </w:rPr>
        <w:t>address challenges related to functionality (de)activation, particularly the impact of frequent changes in functionality applicability. These changes can lead to increased signalling overhead and negatively affect system performance, as well as the efficient management of AI/ML functionalities.</w:t>
      </w:r>
    </w:p>
    <w:p w14:paraId="734D2350" w14:textId="12816B41" w:rsidR="00792767" w:rsidRDefault="00792767" w:rsidP="00792767">
      <w:pPr>
        <w:pStyle w:val="Heading1"/>
        <w:jc w:val="left"/>
        <w:rPr>
          <w:rFonts w:cs="Arial"/>
          <w:b/>
          <w:bCs/>
          <w:sz w:val="28"/>
          <w:szCs w:val="28"/>
        </w:rPr>
      </w:pPr>
      <w:r w:rsidRPr="00133B97">
        <w:rPr>
          <w:rFonts w:cs="Arial"/>
          <w:b/>
          <w:bCs/>
          <w:sz w:val="28"/>
          <w:szCs w:val="28"/>
        </w:rPr>
        <w:lastRenderedPageBreak/>
        <w:t>Discussion on Functionality Activation</w:t>
      </w:r>
      <w:r w:rsidR="00481F39">
        <w:rPr>
          <w:rFonts w:cs="Arial"/>
          <w:b/>
          <w:bCs/>
          <w:sz w:val="28"/>
          <w:szCs w:val="28"/>
        </w:rPr>
        <w:t xml:space="preserve"> and Reporting of Preferred</w:t>
      </w:r>
      <w:r w:rsidR="007042AC">
        <w:rPr>
          <w:rFonts w:cs="Arial"/>
          <w:b/>
          <w:bCs/>
          <w:sz w:val="28"/>
          <w:szCs w:val="28"/>
        </w:rPr>
        <w:t xml:space="preserve"> or Default Configuration</w:t>
      </w:r>
    </w:p>
    <w:p w14:paraId="71509804" w14:textId="77777777" w:rsidR="00792767" w:rsidRPr="00B53F6F" w:rsidRDefault="00792767" w:rsidP="00792767">
      <w:pPr>
        <w:pStyle w:val="NormalWeb"/>
        <w:jc w:val="both"/>
        <w:rPr>
          <w:rFonts w:ascii="Arial" w:eastAsia="SimSun" w:hAnsi="Arial" w:cs="Arial"/>
          <w:sz w:val="22"/>
          <w:szCs w:val="20"/>
        </w:rPr>
      </w:pPr>
      <w:r w:rsidRPr="00D921E2">
        <w:rPr>
          <w:rFonts w:ascii="Arial" w:eastAsia="SimSun" w:hAnsi="Arial" w:cs="Arial"/>
          <w:sz w:val="22"/>
          <w:szCs w:val="20"/>
          <w:lang w:val="en-US"/>
        </w:rPr>
        <w:t xml:space="preserve">In this section, </w:t>
      </w:r>
      <w:r>
        <w:rPr>
          <w:rFonts w:ascii="Arial" w:eastAsia="SimSun" w:hAnsi="Arial" w:cs="Arial"/>
          <w:sz w:val="22"/>
          <w:szCs w:val="20"/>
          <w:lang w:val="en-US"/>
        </w:rPr>
        <w:t>the activation/deactivation of a</w:t>
      </w:r>
      <w:r w:rsidRPr="00D921E2">
        <w:rPr>
          <w:rFonts w:ascii="Arial" w:eastAsia="SimSun" w:hAnsi="Arial" w:cs="Arial"/>
          <w:sz w:val="22"/>
          <w:szCs w:val="20"/>
          <w:lang w:val="en-US"/>
        </w:rPr>
        <w:t xml:space="preserve"> functionality</w:t>
      </w:r>
      <w:r>
        <w:rPr>
          <w:rFonts w:ascii="Arial" w:eastAsia="SimSun" w:hAnsi="Arial" w:cs="Arial"/>
          <w:sz w:val="22"/>
          <w:szCs w:val="20"/>
          <w:lang w:val="en-US"/>
        </w:rPr>
        <w:t xml:space="preserve"> or configuration</w:t>
      </w:r>
      <w:r w:rsidRPr="00D921E2">
        <w:rPr>
          <w:rFonts w:ascii="Arial" w:eastAsia="SimSun" w:hAnsi="Arial" w:cs="Arial"/>
          <w:sz w:val="22"/>
          <w:szCs w:val="20"/>
          <w:lang w:val="en-US"/>
        </w:rPr>
        <w:t xml:space="preserve"> is discussed based on the following agreements</w:t>
      </w:r>
      <w:r>
        <w:rPr>
          <w:rFonts w:ascii="Arial" w:eastAsia="SimSun" w:hAnsi="Arial" w:cs="Arial"/>
          <w:sz w:val="22"/>
          <w:szCs w:val="20"/>
          <w:lang w:val="en-US"/>
        </w:rPr>
        <w:t xml:space="preserve"> in RAN2 #129 [1].</w:t>
      </w:r>
    </w:p>
    <w:p w14:paraId="3BE4B748" w14:textId="77777777" w:rsidR="00792767" w:rsidRPr="00EF5EDB" w:rsidRDefault="00792767" w:rsidP="00792767">
      <w:pPr>
        <w:pStyle w:val="Agreement"/>
        <w:pBdr>
          <w:top w:val="single" w:sz="4" w:space="1" w:color="auto"/>
          <w:left w:val="single" w:sz="4" w:space="4" w:color="auto"/>
          <w:bottom w:val="single" w:sz="4" w:space="1" w:color="auto"/>
          <w:right w:val="single" w:sz="4" w:space="4" w:color="auto"/>
        </w:pBdr>
        <w:tabs>
          <w:tab w:val="num" w:pos="1619"/>
        </w:tabs>
        <w:ind w:left="360"/>
        <w:rPr>
          <w:b w:val="0"/>
          <w:bCs/>
          <w:highlight w:val="cyan"/>
        </w:rPr>
      </w:pPr>
      <w:r w:rsidRPr="00EF5EDB">
        <w:rPr>
          <w:b w:val="0"/>
          <w:bCs/>
          <w:highlight w:val="cyan"/>
        </w:rPr>
        <w:t xml:space="preserve">If option A is configured in Step 3, for periodic CSI reporting, the UE autonomously activate the applicable functionalities upon reporting applicable functionalities via RRCReconfigurationComplete in step 4 (i.e. without need to wait RRCReconfiguration in Step 5).   </w:t>
      </w:r>
    </w:p>
    <w:p w14:paraId="5058194D" w14:textId="77777777" w:rsidR="00792767" w:rsidRPr="003C5225" w:rsidRDefault="00792767" w:rsidP="00792767">
      <w:pPr>
        <w:pStyle w:val="Agreement"/>
        <w:pBdr>
          <w:top w:val="single" w:sz="4" w:space="1" w:color="auto"/>
          <w:left w:val="single" w:sz="4" w:space="4" w:color="auto"/>
          <w:bottom w:val="single" w:sz="4" w:space="1" w:color="auto"/>
          <w:right w:val="single" w:sz="4" w:space="4" w:color="auto"/>
        </w:pBdr>
        <w:tabs>
          <w:tab w:val="num" w:pos="1619"/>
        </w:tabs>
        <w:ind w:left="360"/>
        <w:rPr>
          <w:b w:val="0"/>
          <w:bCs/>
        </w:rPr>
      </w:pPr>
      <w:r w:rsidRPr="003C5225">
        <w:rPr>
          <w:b w:val="0"/>
          <w:bCs/>
        </w:rPr>
        <w:t xml:space="preserve">The provided periodic CSI configuration should be consistent with reported UE capabilities </w:t>
      </w:r>
    </w:p>
    <w:p w14:paraId="5ECF7823" w14:textId="77777777" w:rsidR="00792767" w:rsidRPr="003C5225" w:rsidRDefault="00792767" w:rsidP="00792767">
      <w:pPr>
        <w:pStyle w:val="Agreement"/>
        <w:pBdr>
          <w:top w:val="single" w:sz="4" w:space="1" w:color="auto"/>
          <w:left w:val="single" w:sz="4" w:space="4" w:color="auto"/>
          <w:bottom w:val="single" w:sz="4" w:space="1" w:color="auto"/>
          <w:right w:val="single" w:sz="4" w:space="4" w:color="auto"/>
        </w:pBdr>
        <w:tabs>
          <w:tab w:val="num" w:pos="1619"/>
        </w:tabs>
        <w:ind w:left="360"/>
        <w:rPr>
          <w:b w:val="0"/>
          <w:bCs/>
        </w:rPr>
      </w:pPr>
      <w:r w:rsidRPr="003C5225">
        <w:rPr>
          <w:b w:val="0"/>
          <w:bCs/>
        </w:rPr>
        <w:t xml:space="preserve">FFS option B </w:t>
      </w:r>
    </w:p>
    <w:p w14:paraId="5840B666" w14:textId="77777777" w:rsidR="00792767" w:rsidRPr="004D032A" w:rsidRDefault="00792767" w:rsidP="00792767">
      <w:pPr>
        <w:pStyle w:val="Agreement"/>
        <w:pBdr>
          <w:top w:val="single" w:sz="4" w:space="1" w:color="auto"/>
          <w:left w:val="single" w:sz="4" w:space="4" w:color="auto"/>
          <w:bottom w:val="single" w:sz="4" w:space="1" w:color="auto"/>
          <w:right w:val="single" w:sz="4" w:space="4" w:color="auto"/>
        </w:pBdr>
        <w:tabs>
          <w:tab w:val="num" w:pos="1619"/>
        </w:tabs>
        <w:ind w:left="360"/>
        <w:rPr>
          <w:b w:val="0"/>
          <w:bCs/>
          <w:highlight w:val="cyan"/>
        </w:rPr>
      </w:pPr>
      <w:r w:rsidRPr="003C5225">
        <w:rPr>
          <w:b w:val="0"/>
          <w:bCs/>
        </w:rPr>
        <w:t>Semi-</w:t>
      </w:r>
      <w:r w:rsidRPr="004D032A">
        <w:rPr>
          <w:b w:val="0"/>
          <w:bCs/>
          <w:highlight w:val="cyan"/>
        </w:rPr>
        <w:t>persistent and aperiodic CSI reporting of applicable functionality is activated following legacy CSI framework:</w:t>
      </w:r>
    </w:p>
    <w:p w14:paraId="45A23F2C" w14:textId="77777777" w:rsidR="00792767" w:rsidRPr="004D032A" w:rsidRDefault="00792767" w:rsidP="00792767">
      <w:pPr>
        <w:pStyle w:val="Agreement"/>
        <w:pBdr>
          <w:top w:val="single" w:sz="4" w:space="1" w:color="auto"/>
          <w:left w:val="single" w:sz="4" w:space="4" w:color="auto"/>
          <w:bottom w:val="single" w:sz="4" w:space="1" w:color="auto"/>
          <w:right w:val="single" w:sz="4" w:space="4" w:color="auto"/>
        </w:pBdr>
        <w:tabs>
          <w:tab w:val="num" w:pos="1619"/>
        </w:tabs>
        <w:ind w:left="360"/>
        <w:rPr>
          <w:b w:val="0"/>
          <w:bCs/>
          <w:highlight w:val="cyan"/>
        </w:rPr>
      </w:pPr>
      <w:r w:rsidRPr="004D032A">
        <w:rPr>
          <w:b w:val="0"/>
          <w:bCs/>
          <w:highlight w:val="cyan"/>
        </w:rPr>
        <w:t xml:space="preserve">Semi-persistent reporting, activated by MAC CE/DCI </w:t>
      </w:r>
    </w:p>
    <w:p w14:paraId="7C5E45D6" w14:textId="77777777" w:rsidR="00792767" w:rsidRPr="004D032A" w:rsidRDefault="00792767" w:rsidP="00792767">
      <w:pPr>
        <w:pStyle w:val="Agreement"/>
        <w:pBdr>
          <w:top w:val="single" w:sz="4" w:space="1" w:color="auto"/>
          <w:left w:val="single" w:sz="4" w:space="4" w:color="auto"/>
          <w:bottom w:val="single" w:sz="4" w:space="1" w:color="auto"/>
          <w:right w:val="single" w:sz="4" w:space="4" w:color="auto"/>
        </w:pBdr>
        <w:tabs>
          <w:tab w:val="num" w:pos="1619"/>
        </w:tabs>
        <w:ind w:left="360"/>
        <w:rPr>
          <w:b w:val="0"/>
          <w:bCs/>
          <w:highlight w:val="cyan"/>
        </w:rPr>
      </w:pPr>
      <w:r w:rsidRPr="004D032A">
        <w:rPr>
          <w:b w:val="0"/>
          <w:bCs/>
          <w:highlight w:val="cyan"/>
        </w:rPr>
        <w:t>Aperiodic CSI reporting, activated by DCI</w:t>
      </w:r>
    </w:p>
    <w:p w14:paraId="47AA0E30" w14:textId="77777777" w:rsidR="00792767" w:rsidRDefault="00792767" w:rsidP="00792767">
      <w:pPr>
        <w:spacing w:after="180"/>
        <w:jc w:val="left"/>
        <w:rPr>
          <w:rFonts w:ascii="Arial" w:hAnsi="Arial" w:cs="Arial"/>
        </w:rPr>
      </w:pPr>
    </w:p>
    <w:p w14:paraId="61EF338F" w14:textId="77777777" w:rsidR="00792767" w:rsidRPr="00AE694F" w:rsidRDefault="00792767" w:rsidP="00792767">
      <w:pPr>
        <w:spacing w:after="180"/>
        <w:jc w:val="left"/>
        <w:rPr>
          <w:rFonts w:ascii="Arial" w:hAnsi="Arial" w:cs="Arial"/>
        </w:rPr>
      </w:pPr>
      <w:r>
        <w:rPr>
          <w:rFonts w:ascii="Arial" w:hAnsi="Arial" w:cs="Arial"/>
        </w:rPr>
        <w:t>Fig. 1 depicts the</w:t>
      </w:r>
      <w:r w:rsidRPr="00AE694F">
        <w:rPr>
          <w:rFonts w:ascii="Arial" w:hAnsi="Arial" w:cs="Arial"/>
        </w:rPr>
        <w:t xml:space="preserve"> signalling </w:t>
      </w:r>
      <w:r>
        <w:rPr>
          <w:rFonts w:ascii="Arial" w:hAnsi="Arial" w:cs="Arial"/>
        </w:rPr>
        <w:t xml:space="preserve">framework used as baseline in RAN2 discussion </w:t>
      </w:r>
      <w:r w:rsidRPr="00AE694F">
        <w:rPr>
          <w:rFonts w:ascii="Arial" w:hAnsi="Arial" w:cs="Arial"/>
        </w:rPr>
        <w:t>for beam management</w:t>
      </w:r>
      <w:r>
        <w:rPr>
          <w:rFonts w:ascii="Arial" w:hAnsi="Arial" w:cs="Arial"/>
        </w:rPr>
        <w:t xml:space="preserve"> use case for</w:t>
      </w:r>
      <w:r w:rsidRPr="00AE694F">
        <w:rPr>
          <w:rFonts w:ascii="Arial" w:hAnsi="Arial" w:cs="Arial"/>
        </w:rPr>
        <w:t xml:space="preserve"> UE-sided model:</w:t>
      </w:r>
    </w:p>
    <w:p w14:paraId="3099D2E9" w14:textId="77777777" w:rsidR="00792767" w:rsidRPr="00133B97" w:rsidRDefault="00792767" w:rsidP="00792767">
      <w:pPr>
        <w:keepNext/>
        <w:spacing w:after="180"/>
        <w:jc w:val="center"/>
        <w:rPr>
          <w:rFonts w:ascii="Arial" w:hAnsi="Arial" w:cs="Arial"/>
        </w:rPr>
      </w:pPr>
      <w:r w:rsidRPr="00133B97">
        <w:rPr>
          <w:rFonts w:ascii="Arial" w:eastAsia="DengXian" w:hAnsi="Arial" w:cs="Arial"/>
          <w:noProof/>
          <w:kern w:val="2"/>
          <w:szCs w:val="24"/>
          <w:lang w:val="en-US"/>
          <w14:ligatures w14:val="standardContextual"/>
        </w:rPr>
        <w:drawing>
          <wp:inline distT="0" distB="0" distL="0" distR="0" wp14:anchorId="0F045B23" wp14:editId="35290BFB">
            <wp:extent cx="3438525" cy="2685986"/>
            <wp:effectExtent l="0" t="0" r="0" b="635"/>
            <wp:docPr id="4895431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47067" cy="2692658"/>
                    </a:xfrm>
                    <a:prstGeom prst="rect">
                      <a:avLst/>
                    </a:prstGeom>
                    <a:noFill/>
                    <a:ln>
                      <a:noFill/>
                    </a:ln>
                  </pic:spPr>
                </pic:pic>
              </a:graphicData>
            </a:graphic>
          </wp:inline>
        </w:drawing>
      </w:r>
    </w:p>
    <w:p w14:paraId="183D05F2" w14:textId="544A1261" w:rsidR="00792767" w:rsidRPr="00A15794" w:rsidRDefault="00792767" w:rsidP="00792767">
      <w:pPr>
        <w:spacing w:after="180"/>
        <w:jc w:val="center"/>
        <w:rPr>
          <w:rFonts w:ascii="Arial" w:eastAsia="Times New Roman" w:hAnsi="Arial" w:cs="Arial"/>
          <w:sz w:val="20"/>
        </w:rPr>
      </w:pPr>
      <w:r w:rsidRPr="00133B97">
        <w:rPr>
          <w:rFonts w:ascii="Arial" w:hAnsi="Arial" w:cs="Arial"/>
        </w:rPr>
        <w:t xml:space="preserve">Figure </w:t>
      </w:r>
      <w:r w:rsidRPr="00133B97">
        <w:rPr>
          <w:rFonts w:ascii="Arial" w:hAnsi="Arial" w:cs="Arial"/>
        </w:rPr>
        <w:fldChar w:fldCharType="begin"/>
      </w:r>
      <w:r w:rsidRPr="00133B97">
        <w:rPr>
          <w:rFonts w:ascii="Arial" w:hAnsi="Arial" w:cs="Arial"/>
        </w:rPr>
        <w:instrText xml:space="preserve"> SEQ Figure \* ARABIC </w:instrText>
      </w:r>
      <w:r w:rsidRPr="00133B97">
        <w:rPr>
          <w:rFonts w:ascii="Arial" w:hAnsi="Arial" w:cs="Arial"/>
        </w:rPr>
        <w:fldChar w:fldCharType="separate"/>
      </w:r>
      <w:r w:rsidRPr="00133B97">
        <w:rPr>
          <w:rFonts w:ascii="Arial" w:hAnsi="Arial" w:cs="Arial"/>
          <w:noProof/>
        </w:rPr>
        <w:t>1</w:t>
      </w:r>
      <w:r w:rsidRPr="00133B97">
        <w:rPr>
          <w:rFonts w:ascii="Arial" w:hAnsi="Arial" w:cs="Arial"/>
        </w:rPr>
        <w:fldChar w:fldCharType="end"/>
      </w:r>
      <w:r w:rsidRPr="00133B97">
        <w:rPr>
          <w:rFonts w:ascii="Arial" w:hAnsi="Arial" w:cs="Arial"/>
        </w:rPr>
        <w:t xml:space="preserve">: </w:t>
      </w:r>
      <w:r w:rsidR="00337030" w:rsidRPr="00133B97">
        <w:rPr>
          <w:rFonts w:ascii="Arial" w:hAnsi="Arial" w:cs="Arial"/>
        </w:rPr>
        <w:t>Signalling</w:t>
      </w:r>
      <w:r w:rsidRPr="00133B97">
        <w:rPr>
          <w:rFonts w:ascii="Arial" w:hAnsi="Arial" w:cs="Arial"/>
        </w:rPr>
        <w:t xml:space="preserve"> flow for applicable functionality reporting</w:t>
      </w:r>
    </w:p>
    <w:p w14:paraId="7819CB75" w14:textId="77777777" w:rsidR="00792767" w:rsidRDefault="00792767" w:rsidP="00792767">
      <w:pPr>
        <w:rPr>
          <w:rFonts w:ascii="Arial" w:hAnsi="Arial" w:cs="Arial"/>
        </w:rPr>
      </w:pPr>
    </w:p>
    <w:p w14:paraId="109F50B3" w14:textId="4DE2D3EC" w:rsidR="00792767" w:rsidRPr="00C62589" w:rsidRDefault="00792767" w:rsidP="00792767">
      <w:pPr>
        <w:rPr>
          <w:rFonts w:ascii="Arial" w:hAnsi="Arial" w:cs="Arial"/>
        </w:rPr>
      </w:pPr>
      <w:r>
        <w:rPr>
          <w:rFonts w:ascii="Arial" w:hAnsi="Arial" w:cs="Arial"/>
        </w:rPr>
        <w:t>T</w:t>
      </w:r>
      <w:r w:rsidRPr="00133B97">
        <w:rPr>
          <w:rFonts w:ascii="Arial" w:hAnsi="Arial" w:cs="Arial"/>
        </w:rPr>
        <w:t xml:space="preserve">he final applicability of a functionality may be determined either by the UE or the network, depending on whether the UE has sufficient information to evaluate the functionality's applicability. If the UE has adequate </w:t>
      </w:r>
      <w:r w:rsidRPr="00133B97">
        <w:rPr>
          <w:rFonts w:ascii="Arial" w:hAnsi="Arial" w:cs="Arial"/>
          <w:lang w:val="en-US"/>
        </w:rPr>
        <w:t>information</w:t>
      </w:r>
      <w:r w:rsidRPr="00133B97">
        <w:rPr>
          <w:rFonts w:ascii="Arial" w:hAnsi="Arial" w:cs="Arial"/>
        </w:rPr>
        <w:t>, such as</w:t>
      </w:r>
      <w:r>
        <w:rPr>
          <w:rFonts w:ascii="Arial" w:hAnsi="Arial" w:cs="Arial"/>
        </w:rPr>
        <w:t xml:space="preserve"> full CSI-</w:t>
      </w:r>
      <w:r w:rsidRPr="00337030">
        <w:rPr>
          <w:rFonts w:ascii="Arial" w:hAnsi="Arial" w:cs="Arial"/>
          <w:i/>
          <w:iCs/>
        </w:rPr>
        <w:t>ReportConfig</w:t>
      </w:r>
      <w:r w:rsidR="00BB6C7E">
        <w:rPr>
          <w:rFonts w:ascii="Arial" w:hAnsi="Arial" w:cs="Arial"/>
          <w:i/>
          <w:iCs/>
        </w:rPr>
        <w:t>.</w:t>
      </w:r>
      <w:r w:rsidRPr="00133B97">
        <w:rPr>
          <w:rFonts w:ascii="Arial" w:hAnsi="Arial" w:cs="Arial"/>
        </w:rPr>
        <w:t xml:space="preserve"> </w:t>
      </w:r>
      <w:r>
        <w:rPr>
          <w:rFonts w:ascii="Arial" w:hAnsi="Arial" w:cs="Arial"/>
        </w:rPr>
        <w:t>(</w:t>
      </w:r>
      <w:r w:rsidRPr="00133B97">
        <w:rPr>
          <w:rFonts w:ascii="Arial" w:hAnsi="Arial" w:cs="Arial"/>
        </w:rPr>
        <w:t>inference configurations</w:t>
      </w:r>
      <w:r>
        <w:rPr>
          <w:rFonts w:ascii="Arial" w:hAnsi="Arial" w:cs="Arial"/>
        </w:rPr>
        <w:t>), associated ID(s)</w:t>
      </w:r>
      <w:r w:rsidRPr="00133B97">
        <w:rPr>
          <w:rFonts w:ascii="Arial" w:hAnsi="Arial" w:cs="Arial"/>
        </w:rPr>
        <w:t xml:space="preserve"> or additional conditions, it may autonomously determine the applicability.</w:t>
      </w:r>
    </w:p>
    <w:p w14:paraId="4AE7ACFB" w14:textId="77777777" w:rsidR="00792767" w:rsidRDefault="00792767" w:rsidP="00792767">
      <w:pPr>
        <w:rPr>
          <w:rFonts w:ascii="Arial" w:hAnsi="Arial" w:cs="Arial"/>
        </w:rPr>
      </w:pPr>
      <w:r>
        <w:rPr>
          <w:rFonts w:ascii="Arial" w:hAnsi="Arial" w:cs="Arial"/>
        </w:rPr>
        <w:t>The</w:t>
      </w:r>
      <w:r w:rsidRPr="00133B97">
        <w:rPr>
          <w:rFonts w:ascii="Arial" w:hAnsi="Arial" w:cs="Arial"/>
        </w:rPr>
        <w:t xml:space="preserve"> potential for multiple </w:t>
      </w:r>
      <w:r>
        <w:rPr>
          <w:rFonts w:ascii="Arial" w:hAnsi="Arial" w:cs="Arial"/>
        </w:rPr>
        <w:t>functionality/</w:t>
      </w:r>
      <w:r w:rsidRPr="00133B97">
        <w:rPr>
          <w:rFonts w:ascii="Arial" w:hAnsi="Arial" w:cs="Arial"/>
        </w:rPr>
        <w:t>inference configurations</w:t>
      </w:r>
      <w:r>
        <w:rPr>
          <w:rFonts w:ascii="Arial" w:hAnsi="Arial" w:cs="Arial"/>
        </w:rPr>
        <w:t xml:space="preserve"> (e.g., CSI-</w:t>
      </w:r>
      <w:r w:rsidRPr="00337030">
        <w:rPr>
          <w:rFonts w:ascii="Arial" w:hAnsi="Arial" w:cs="Arial"/>
          <w:i/>
          <w:iCs/>
        </w:rPr>
        <w:t>ReportConfig.</w:t>
      </w:r>
      <w:r>
        <w:rPr>
          <w:rFonts w:ascii="Arial" w:hAnsi="Arial" w:cs="Arial"/>
        </w:rPr>
        <w:t>) provided to the UE</w:t>
      </w:r>
      <w:r w:rsidRPr="00133B97">
        <w:rPr>
          <w:rFonts w:ascii="Arial" w:hAnsi="Arial" w:cs="Arial"/>
        </w:rPr>
        <w:t xml:space="preserve">, as well as the possibility of simultaneously activating multiple functionalities, are critical factors that must be incorporated to enhance </w:t>
      </w:r>
      <w:r>
        <w:rPr>
          <w:rFonts w:ascii="Arial" w:hAnsi="Arial" w:cs="Arial"/>
        </w:rPr>
        <w:t>flexibility</w:t>
      </w:r>
      <w:r w:rsidRPr="00133B97">
        <w:rPr>
          <w:rFonts w:ascii="Arial" w:hAnsi="Arial" w:cs="Arial"/>
        </w:rPr>
        <w:t xml:space="preserve"> and ensure optimal performance. In a beam management use case, the network can leverage AI/ML inference configurations to optimize beam</w:t>
      </w:r>
      <w:r w:rsidRPr="00133B97">
        <w:rPr>
          <w:rFonts w:ascii="Arial" w:hAnsi="Arial" w:cs="Arial"/>
          <w:lang w:val="en-US"/>
        </w:rPr>
        <w:t xml:space="preserve"> </w:t>
      </w:r>
      <w:r w:rsidRPr="00133B97">
        <w:rPr>
          <w:rFonts w:ascii="Arial" w:hAnsi="Arial" w:cs="Arial"/>
          <w:lang w:val="en-US"/>
        </w:rPr>
        <w:lastRenderedPageBreak/>
        <w:t>prediction,</w:t>
      </w:r>
      <w:r w:rsidRPr="00133B97">
        <w:rPr>
          <w:rFonts w:ascii="Arial" w:hAnsi="Arial" w:cs="Arial"/>
        </w:rPr>
        <w:t xml:space="preserve"> selection and signal quality. These inference configurations</w:t>
      </w:r>
      <w:r>
        <w:rPr>
          <w:rFonts w:ascii="Arial" w:hAnsi="Arial" w:cs="Arial"/>
        </w:rPr>
        <w:t xml:space="preserve"> or parameters</w:t>
      </w:r>
      <w:r w:rsidRPr="00133B97">
        <w:rPr>
          <w:rFonts w:ascii="Arial" w:hAnsi="Arial" w:cs="Arial"/>
        </w:rPr>
        <w:t xml:space="preserve"> can be communicated to the </w:t>
      </w:r>
      <w:r>
        <w:rPr>
          <w:rFonts w:ascii="Arial" w:hAnsi="Arial" w:cs="Arial"/>
        </w:rPr>
        <w:t>UE</w:t>
      </w:r>
      <w:r w:rsidRPr="00133B97">
        <w:rPr>
          <w:rFonts w:ascii="Arial" w:hAnsi="Arial" w:cs="Arial"/>
        </w:rPr>
        <w:t xml:space="preserve"> through </w:t>
      </w:r>
      <w:r w:rsidRPr="00133B97">
        <w:rPr>
          <w:rFonts w:ascii="Arial" w:hAnsi="Arial" w:cs="Arial"/>
          <w:lang w:val="en-US"/>
        </w:rPr>
        <w:t xml:space="preserve">AI/ML </w:t>
      </w:r>
      <w:r w:rsidRPr="00133B97">
        <w:rPr>
          <w:rFonts w:ascii="Arial" w:hAnsi="Arial" w:cs="Arial"/>
        </w:rPr>
        <w:t>CSI-</w:t>
      </w:r>
      <w:r w:rsidRPr="00AE694F">
        <w:rPr>
          <w:rFonts w:ascii="Arial" w:hAnsi="Arial" w:cs="Arial"/>
          <w:i/>
          <w:iCs/>
        </w:rPr>
        <w:t>ReportConfigs</w:t>
      </w:r>
      <w:r>
        <w:rPr>
          <w:rFonts w:ascii="Arial" w:hAnsi="Arial" w:cs="Arial"/>
        </w:rPr>
        <w:t>.</w:t>
      </w:r>
    </w:p>
    <w:p w14:paraId="34E3FDBD" w14:textId="298E2A14" w:rsidR="00792767" w:rsidRDefault="00792767" w:rsidP="00792767">
      <w:pPr>
        <w:rPr>
          <w:rFonts w:ascii="Arial" w:hAnsi="Arial" w:cs="Arial"/>
        </w:rPr>
      </w:pPr>
      <w:r>
        <w:rPr>
          <w:rFonts w:ascii="Arial" w:hAnsi="Arial" w:cs="Arial"/>
        </w:rPr>
        <w:t>As per the RAN 1 agreements [3], f</w:t>
      </w:r>
      <w:r w:rsidRPr="000865D6">
        <w:rPr>
          <w:rFonts w:ascii="Arial" w:hAnsi="Arial" w:cs="Arial" w:hint="eastAsia"/>
        </w:rPr>
        <w:t>or beam management, m</w:t>
      </w:r>
      <w:r w:rsidRPr="000865D6">
        <w:rPr>
          <w:rFonts w:ascii="Arial" w:hAnsi="Arial" w:cs="Arial"/>
        </w:rPr>
        <w:t xml:space="preserve">ultiple </w:t>
      </w:r>
      <w:r w:rsidRPr="00636745">
        <w:rPr>
          <w:rFonts w:ascii="Arial" w:hAnsi="Arial" w:cs="Arial"/>
        </w:rPr>
        <w:t>CSI-</w:t>
      </w:r>
      <w:r w:rsidRPr="00D961F5">
        <w:rPr>
          <w:rFonts w:ascii="Arial" w:hAnsi="Arial" w:cs="Arial"/>
          <w:i/>
          <w:iCs/>
        </w:rPr>
        <w:t>ReportConfigs</w:t>
      </w:r>
      <w:r w:rsidR="001E3682">
        <w:rPr>
          <w:rFonts w:ascii="Arial" w:hAnsi="Arial" w:cs="Arial"/>
          <w:i/>
          <w:iCs/>
        </w:rPr>
        <w:t>.</w:t>
      </w:r>
      <w:r w:rsidRPr="000865D6">
        <w:rPr>
          <w:rFonts w:ascii="Arial" w:hAnsi="Arial" w:cs="Arial"/>
        </w:rPr>
        <w:t xml:space="preserve"> for inference for UE-side model can be configured/activated</w:t>
      </w:r>
      <w:r w:rsidRPr="000865D6">
        <w:rPr>
          <w:rFonts w:ascii="Arial" w:hAnsi="Arial" w:cs="Arial" w:hint="eastAsia"/>
        </w:rPr>
        <w:t>/</w:t>
      </w:r>
      <w:r w:rsidRPr="000865D6">
        <w:rPr>
          <w:rFonts w:ascii="Arial" w:hAnsi="Arial" w:cs="Arial"/>
        </w:rPr>
        <w:t>triggered, which is up to UE capability</w:t>
      </w:r>
      <w:r>
        <w:rPr>
          <w:rFonts w:ascii="Arial" w:hAnsi="Arial" w:cs="Arial"/>
        </w:rPr>
        <w:t>. This implies that e</w:t>
      </w:r>
      <w:r w:rsidRPr="00636745">
        <w:rPr>
          <w:rFonts w:ascii="Arial" w:hAnsi="Arial" w:cs="Arial"/>
        </w:rPr>
        <w:t>ach UE may be assigned multiple CSI-</w:t>
      </w:r>
      <w:r w:rsidRPr="00AE694F">
        <w:rPr>
          <w:rFonts w:ascii="Arial" w:hAnsi="Arial" w:cs="Arial"/>
          <w:i/>
          <w:iCs/>
        </w:rPr>
        <w:t>ReportConfig</w:t>
      </w:r>
      <w:r w:rsidR="001E3682">
        <w:rPr>
          <w:rFonts w:ascii="Arial" w:hAnsi="Arial" w:cs="Arial"/>
          <w:i/>
          <w:iCs/>
        </w:rPr>
        <w:t>.</w:t>
      </w:r>
      <w:r w:rsidRPr="00636745">
        <w:rPr>
          <w:rFonts w:ascii="Arial" w:hAnsi="Arial" w:cs="Arial"/>
        </w:rPr>
        <w:t xml:space="preserve"> instances, tailored for different reporting types, such as periodic or aperiodic</w:t>
      </w:r>
      <w:r>
        <w:rPr>
          <w:rFonts w:ascii="Arial" w:hAnsi="Arial" w:cs="Arial"/>
        </w:rPr>
        <w:t xml:space="preserve"> or semi-persistent</w:t>
      </w:r>
      <w:r w:rsidRPr="00636745">
        <w:rPr>
          <w:rFonts w:ascii="Arial" w:hAnsi="Arial" w:cs="Arial"/>
        </w:rPr>
        <w:t xml:space="preserve"> reporting. </w:t>
      </w:r>
    </w:p>
    <w:p w14:paraId="3008F0F3" w14:textId="225638E2" w:rsidR="00792767" w:rsidRDefault="00792767" w:rsidP="00792767">
      <w:pPr>
        <w:rPr>
          <w:rFonts w:ascii="Arial" w:hAnsi="Arial" w:cs="Arial"/>
        </w:rPr>
      </w:pPr>
      <w:r w:rsidRPr="00157176">
        <w:rPr>
          <w:rFonts w:ascii="Arial" w:hAnsi="Arial" w:cs="Arial"/>
        </w:rPr>
        <w:t>In Step 4</w:t>
      </w:r>
      <w:r>
        <w:rPr>
          <w:rFonts w:ascii="Arial" w:hAnsi="Arial" w:cs="Arial"/>
        </w:rPr>
        <w:t xml:space="preserve"> (Fig. 1)</w:t>
      </w:r>
      <w:r w:rsidRPr="00157176">
        <w:rPr>
          <w:rFonts w:ascii="Arial" w:hAnsi="Arial" w:cs="Arial"/>
        </w:rPr>
        <w:t>, the UE reports the applicability</w:t>
      </w:r>
      <w:r>
        <w:rPr>
          <w:rFonts w:ascii="Arial" w:hAnsi="Arial" w:cs="Arial"/>
        </w:rPr>
        <w:t xml:space="preserve"> and inapplicability</w:t>
      </w:r>
      <w:r w:rsidRPr="00157176">
        <w:rPr>
          <w:rFonts w:ascii="Arial" w:hAnsi="Arial" w:cs="Arial"/>
        </w:rPr>
        <w:t xml:space="preserve"> of one or more CSI-</w:t>
      </w:r>
      <w:r w:rsidRPr="00337030">
        <w:rPr>
          <w:rFonts w:ascii="Arial" w:hAnsi="Arial" w:cs="Arial"/>
          <w:i/>
          <w:iCs/>
        </w:rPr>
        <w:t>ReportConfigs</w:t>
      </w:r>
      <w:r w:rsidR="001E3682" w:rsidRPr="00337030">
        <w:rPr>
          <w:rFonts w:ascii="Arial" w:hAnsi="Arial" w:cs="Arial"/>
          <w:i/>
          <w:iCs/>
        </w:rPr>
        <w:t>.</w:t>
      </w:r>
      <w:r w:rsidRPr="00157176">
        <w:rPr>
          <w:rFonts w:ascii="Arial" w:hAnsi="Arial" w:cs="Arial"/>
        </w:rPr>
        <w:t xml:space="preserve"> and/or sets of inference-related </w:t>
      </w:r>
      <w:proofErr w:type="spellStart"/>
      <w:r w:rsidRPr="00157176">
        <w:rPr>
          <w:rFonts w:ascii="Arial" w:hAnsi="Arial" w:cs="Arial"/>
        </w:rPr>
        <w:t>paramet</w:t>
      </w:r>
      <w:r w:rsidR="003F2338">
        <w:rPr>
          <w:rFonts w:ascii="Arial" w:hAnsi="Arial" w:cs="Arial"/>
        </w:rPr>
        <w:t>e</w:t>
      </w:r>
      <w:r>
        <w:rPr>
          <w:rFonts w:ascii="Arial" w:hAnsi="Arial" w:cs="Arial"/>
          <w:lang w:val="en-US"/>
        </w:rPr>
        <w:t>r</w:t>
      </w:r>
      <w:r w:rsidR="003F2338">
        <w:rPr>
          <w:rFonts w:ascii="Arial" w:hAnsi="Arial" w:cs="Arial"/>
          <w:lang w:val="en-US"/>
        </w:rPr>
        <w:t>s</w:t>
      </w:r>
      <w:proofErr w:type="spellEnd"/>
      <w:r w:rsidRPr="00157176">
        <w:rPr>
          <w:rFonts w:ascii="Arial" w:hAnsi="Arial" w:cs="Arial"/>
        </w:rPr>
        <w:t xml:space="preserve">. It is still to be determined whether any additional information, apart from the applicability, </w:t>
      </w:r>
      <w:r>
        <w:rPr>
          <w:rFonts w:ascii="Arial" w:hAnsi="Arial" w:cs="Arial"/>
        </w:rPr>
        <w:t>needs to be included in the applicability report</w:t>
      </w:r>
      <w:r w:rsidRPr="00157176">
        <w:rPr>
          <w:rFonts w:ascii="Arial" w:hAnsi="Arial" w:cs="Arial"/>
        </w:rPr>
        <w:t xml:space="preserve">. </w:t>
      </w:r>
      <w:r>
        <w:rPr>
          <w:rFonts w:ascii="Arial" w:hAnsi="Arial" w:cs="Arial"/>
        </w:rPr>
        <w:t>O</w:t>
      </w:r>
      <w:r w:rsidRPr="00157176">
        <w:rPr>
          <w:rFonts w:ascii="Arial" w:hAnsi="Arial" w:cs="Arial"/>
        </w:rPr>
        <w:t>ne or more of </w:t>
      </w:r>
      <w:r w:rsidRPr="00157176">
        <w:rPr>
          <w:rFonts w:ascii="Arial" w:hAnsi="Arial" w:cs="Arial"/>
          <w:i/>
          <w:iCs/>
        </w:rPr>
        <w:t>CSI-ReportConfig</w:t>
      </w:r>
      <w:r w:rsidR="001E3682">
        <w:rPr>
          <w:rFonts w:ascii="Arial" w:hAnsi="Arial" w:cs="Arial"/>
          <w:i/>
          <w:iCs/>
        </w:rPr>
        <w:t>.</w:t>
      </w:r>
      <w:r w:rsidRPr="00157176">
        <w:rPr>
          <w:rFonts w:ascii="Arial" w:hAnsi="Arial" w:cs="Arial"/>
        </w:rPr>
        <w:t xml:space="preserve"> for inference configuration</w:t>
      </w:r>
      <w:r w:rsidRPr="00157176">
        <w:rPr>
          <w:rFonts w:ascii="Arial" w:hAnsi="Arial" w:cs="Arial"/>
          <w:i/>
          <w:iCs/>
        </w:rPr>
        <w:t> </w:t>
      </w:r>
      <w:r w:rsidRPr="00157176">
        <w:rPr>
          <w:rFonts w:ascii="Arial" w:hAnsi="Arial" w:cs="Arial"/>
        </w:rPr>
        <w:t>(wherein the associated ID may be configured in CSI</w:t>
      </w:r>
      <w:r>
        <w:rPr>
          <w:rFonts w:ascii="Arial" w:hAnsi="Arial" w:cs="Arial"/>
        </w:rPr>
        <w:t>-</w:t>
      </w:r>
      <w:r w:rsidRPr="00337030">
        <w:rPr>
          <w:rFonts w:ascii="Arial" w:hAnsi="Arial" w:cs="Arial"/>
          <w:i/>
          <w:iCs/>
        </w:rPr>
        <w:t>ReportConfig</w:t>
      </w:r>
      <w:r w:rsidR="001E3682" w:rsidRPr="00337030">
        <w:rPr>
          <w:rFonts w:ascii="Arial" w:hAnsi="Arial" w:cs="Arial"/>
          <w:i/>
          <w:iCs/>
        </w:rPr>
        <w:t>.</w:t>
      </w:r>
      <w:r>
        <w:rPr>
          <w:rFonts w:ascii="Arial" w:hAnsi="Arial" w:cs="Arial"/>
        </w:rPr>
        <w:t xml:space="preserve"> a</w:t>
      </w:r>
      <w:r w:rsidRPr="00157176">
        <w:rPr>
          <w:rFonts w:ascii="Arial" w:hAnsi="Arial" w:cs="Arial"/>
        </w:rPr>
        <w:t>s</w:t>
      </w:r>
      <w:r>
        <w:rPr>
          <w:rFonts w:ascii="Arial" w:hAnsi="Arial" w:cs="Arial"/>
        </w:rPr>
        <w:t xml:space="preserve"> a</w:t>
      </w:r>
      <w:r w:rsidRPr="00157176">
        <w:rPr>
          <w:rFonts w:ascii="Arial" w:hAnsi="Arial" w:cs="Arial"/>
        </w:rPr>
        <w:t xml:space="preserve"> working assumption) is configured in Step 3, the applicable aperiodic and semi-persistent CSI reports can be activated or triggered by the network after receiving the applicability report</w:t>
      </w:r>
      <w:r>
        <w:rPr>
          <w:rFonts w:ascii="Arial" w:hAnsi="Arial" w:cs="Arial"/>
          <w:lang w:val="en-US"/>
        </w:rPr>
        <w:t xml:space="preserve"> from the UE using MAC CE or DCI indication [1]</w:t>
      </w:r>
      <w:r w:rsidRPr="00157176">
        <w:rPr>
          <w:rFonts w:ascii="Arial" w:hAnsi="Arial" w:cs="Arial"/>
        </w:rPr>
        <w:t>. For applicable periodic CSI reports, they are activated</w:t>
      </w:r>
      <w:r>
        <w:rPr>
          <w:rFonts w:ascii="Arial" w:hAnsi="Arial" w:cs="Arial"/>
        </w:rPr>
        <w:t xml:space="preserve"> by the UE</w:t>
      </w:r>
      <w:r w:rsidRPr="00157176">
        <w:rPr>
          <w:rFonts w:ascii="Arial" w:hAnsi="Arial" w:cs="Arial"/>
        </w:rPr>
        <w:t xml:space="preserve"> only if the applicability of the corresponding CSI-</w:t>
      </w:r>
      <w:r w:rsidRPr="00337030">
        <w:rPr>
          <w:rFonts w:ascii="Arial" w:hAnsi="Arial" w:cs="Arial"/>
          <w:i/>
          <w:iCs/>
        </w:rPr>
        <w:t>ReportConfig</w:t>
      </w:r>
      <w:r w:rsidR="001E3682" w:rsidRPr="00337030">
        <w:rPr>
          <w:rFonts w:ascii="Arial" w:hAnsi="Arial" w:cs="Arial"/>
          <w:i/>
          <w:iCs/>
        </w:rPr>
        <w:t>.</w:t>
      </w:r>
      <w:r w:rsidRPr="00157176">
        <w:rPr>
          <w:rFonts w:ascii="Arial" w:hAnsi="Arial" w:cs="Arial"/>
        </w:rPr>
        <w:t xml:space="preserve"> is reported in the RRCReconfigurationComplete message</w:t>
      </w:r>
      <w:r>
        <w:rPr>
          <w:rFonts w:ascii="Arial" w:hAnsi="Arial" w:cs="Arial"/>
        </w:rPr>
        <w:t xml:space="preserve"> to the network (as per RAN2 # 129 agreement [1])</w:t>
      </w:r>
      <w:r w:rsidRPr="00157176">
        <w:rPr>
          <w:rFonts w:ascii="Arial" w:hAnsi="Arial" w:cs="Arial"/>
        </w:rPr>
        <w:t>.</w:t>
      </w:r>
      <w:r>
        <w:rPr>
          <w:rFonts w:ascii="Arial" w:hAnsi="Arial" w:cs="Arial"/>
        </w:rPr>
        <w:t xml:space="preserve"> In RAN2 129bis</w:t>
      </w:r>
      <w:r w:rsidR="0091157A">
        <w:rPr>
          <w:rFonts w:ascii="Arial" w:hAnsi="Arial" w:cs="Arial"/>
        </w:rPr>
        <w:t xml:space="preserve"> [2]</w:t>
      </w:r>
      <w:r>
        <w:rPr>
          <w:rFonts w:ascii="Arial" w:hAnsi="Arial" w:cs="Arial"/>
        </w:rPr>
        <w:t xml:space="preserve">, following was agreed: </w:t>
      </w:r>
      <w:r w:rsidRPr="0092778B">
        <w:rPr>
          <w:rFonts w:ascii="Arial" w:hAnsi="Arial" w:cs="Arial"/>
        </w:rPr>
        <w:t>Upon receiving one or more full inference configuration(s) via RRCReconfiguration message, UE shall maintain all the full inference configuration(s) no matter the full inference configuration is applicable or inapplicable until the network releases it explicitly</w:t>
      </w:r>
    </w:p>
    <w:p w14:paraId="0C3ECE1E" w14:textId="02986A18" w:rsidR="00E6738E" w:rsidRPr="00337030" w:rsidRDefault="001D7D4D" w:rsidP="00792767">
      <w:pPr>
        <w:rPr>
          <w:rFonts w:ascii="Arial" w:hAnsi="Arial" w:cs="Arial"/>
          <w:b/>
          <w:bCs/>
        </w:rPr>
      </w:pPr>
      <w:r w:rsidRPr="0092778B">
        <w:rPr>
          <w:rFonts w:ascii="Arial" w:hAnsi="Arial" w:cs="Arial"/>
          <w:b/>
          <w:bCs/>
        </w:rPr>
        <w:t>Observation 1: If the UE reports a periodic CSI report configuration (i.e., a full inference configuration provided in CSI-</w:t>
      </w:r>
      <w:r w:rsidRPr="00337030">
        <w:rPr>
          <w:rFonts w:ascii="Arial" w:hAnsi="Arial" w:cs="Arial"/>
          <w:b/>
          <w:bCs/>
          <w:i/>
          <w:iCs/>
        </w:rPr>
        <w:t>ReportConfig</w:t>
      </w:r>
      <w:r w:rsidR="001E3682" w:rsidRPr="00337030">
        <w:rPr>
          <w:rFonts w:ascii="Arial" w:hAnsi="Arial" w:cs="Arial"/>
          <w:b/>
          <w:bCs/>
          <w:i/>
          <w:iCs/>
        </w:rPr>
        <w:t>.</w:t>
      </w:r>
      <w:r w:rsidRPr="0092778B">
        <w:rPr>
          <w:rFonts w:ascii="Arial" w:hAnsi="Arial" w:cs="Arial"/>
          <w:b/>
          <w:bCs/>
        </w:rPr>
        <w:t xml:space="preserve">) as non-applicable, the UE is still required to retain all received full inference configurations—regardless of their applicability status—until they are explicitly released by the network via RRC </w:t>
      </w:r>
      <w:r w:rsidR="001E3682" w:rsidRPr="0092778B">
        <w:rPr>
          <w:rFonts w:ascii="Arial" w:hAnsi="Arial" w:cs="Arial"/>
          <w:b/>
          <w:bCs/>
        </w:rPr>
        <w:t>signalling</w:t>
      </w:r>
      <w:r w:rsidR="008861E0">
        <w:rPr>
          <w:rFonts w:ascii="Arial" w:hAnsi="Arial" w:cs="Arial"/>
          <w:b/>
          <w:bCs/>
        </w:rPr>
        <w:t>.</w:t>
      </w:r>
    </w:p>
    <w:p w14:paraId="621077B6" w14:textId="68D69C80" w:rsidR="00792767" w:rsidRDefault="00792767" w:rsidP="00792767">
      <w:pPr>
        <w:rPr>
          <w:rFonts w:ascii="Arial" w:hAnsi="Arial" w:cs="Arial"/>
        </w:rPr>
      </w:pPr>
      <w:r>
        <w:rPr>
          <w:rFonts w:ascii="Arial" w:hAnsi="Arial" w:cs="Arial"/>
        </w:rPr>
        <w:t>However, it is not clear what should be the UE behaviour when an applicable periodic CSI-</w:t>
      </w:r>
      <w:r w:rsidRPr="00337030">
        <w:rPr>
          <w:rFonts w:ascii="Arial" w:hAnsi="Arial" w:cs="Arial"/>
          <w:i/>
          <w:iCs/>
        </w:rPr>
        <w:t>ReportConfig.</w:t>
      </w:r>
      <w:r>
        <w:rPr>
          <w:rFonts w:ascii="Arial" w:hAnsi="Arial" w:cs="Arial"/>
        </w:rPr>
        <w:t xml:space="preserve"> becomes inapplicable. In this case, it should be discussed if the UE can autonomously deactivate or de-configure the functionality or wait for the network to de-activate it.</w:t>
      </w:r>
    </w:p>
    <w:p w14:paraId="2CCD6E5D" w14:textId="0FDE5FAA" w:rsidR="00792767" w:rsidRPr="00D32DDA" w:rsidRDefault="00792767" w:rsidP="00792767">
      <w:pPr>
        <w:rPr>
          <w:rFonts w:ascii="Arial" w:hAnsi="Arial" w:cs="Arial"/>
          <w:b/>
          <w:bCs/>
        </w:rPr>
      </w:pPr>
      <w:r w:rsidRPr="00272F46">
        <w:rPr>
          <w:rFonts w:ascii="Arial" w:hAnsi="Arial" w:cs="Arial"/>
          <w:b/>
          <w:bCs/>
        </w:rPr>
        <w:t xml:space="preserve">Proposal </w:t>
      </w:r>
      <w:r w:rsidR="008A2D56">
        <w:rPr>
          <w:rFonts w:ascii="Arial" w:hAnsi="Arial" w:cs="Arial"/>
          <w:b/>
          <w:bCs/>
        </w:rPr>
        <w:t>1</w:t>
      </w:r>
      <w:r w:rsidRPr="00272F46">
        <w:rPr>
          <w:rFonts w:ascii="Arial" w:hAnsi="Arial" w:cs="Arial"/>
          <w:b/>
          <w:bCs/>
        </w:rPr>
        <w:t xml:space="preserve">: </w:t>
      </w:r>
      <w:r>
        <w:rPr>
          <w:rFonts w:ascii="Arial" w:hAnsi="Arial" w:cs="Arial"/>
          <w:b/>
          <w:bCs/>
        </w:rPr>
        <w:t>W</w:t>
      </w:r>
      <w:r w:rsidRPr="00272F46">
        <w:rPr>
          <w:rFonts w:ascii="Arial" w:hAnsi="Arial" w:cs="Arial"/>
          <w:b/>
          <w:bCs/>
        </w:rPr>
        <w:t xml:space="preserve">hen an applicable periodic </w:t>
      </w:r>
      <w:r>
        <w:rPr>
          <w:rFonts w:ascii="Arial" w:hAnsi="Arial" w:cs="Arial"/>
          <w:b/>
          <w:bCs/>
        </w:rPr>
        <w:t>configuration/functionality (CSI-</w:t>
      </w:r>
      <w:r w:rsidRPr="00337030">
        <w:rPr>
          <w:rFonts w:ascii="Arial" w:hAnsi="Arial" w:cs="Arial"/>
          <w:b/>
          <w:bCs/>
          <w:i/>
          <w:iCs/>
        </w:rPr>
        <w:t>ReportConfig</w:t>
      </w:r>
      <w:r w:rsidR="001E3682" w:rsidRPr="00337030">
        <w:rPr>
          <w:rFonts w:ascii="Arial" w:hAnsi="Arial" w:cs="Arial"/>
          <w:b/>
          <w:bCs/>
          <w:i/>
          <w:iCs/>
        </w:rPr>
        <w:t>.</w:t>
      </w:r>
      <w:r>
        <w:rPr>
          <w:rFonts w:ascii="Arial" w:hAnsi="Arial" w:cs="Arial"/>
          <w:b/>
          <w:bCs/>
        </w:rPr>
        <w:t>)</w:t>
      </w:r>
      <w:r w:rsidRPr="00272F46">
        <w:rPr>
          <w:rFonts w:ascii="Arial" w:hAnsi="Arial" w:cs="Arial"/>
          <w:b/>
          <w:bCs/>
        </w:rPr>
        <w:t xml:space="preserve"> becomes inapplicable</w:t>
      </w:r>
      <w:r>
        <w:rPr>
          <w:rFonts w:ascii="Arial" w:hAnsi="Arial" w:cs="Arial"/>
          <w:b/>
          <w:bCs/>
        </w:rPr>
        <w:t xml:space="preserve"> in the UE may autonomously de-activate it and report it to the network.</w:t>
      </w:r>
    </w:p>
    <w:p w14:paraId="600FB92E" w14:textId="08D49E14" w:rsidR="00792767" w:rsidRPr="00AE694F" w:rsidRDefault="00792767" w:rsidP="00792767">
      <w:pPr>
        <w:rPr>
          <w:rFonts w:ascii="Arial" w:hAnsi="Arial" w:cs="Arial"/>
          <w:lang w:val="en-US"/>
        </w:rPr>
      </w:pPr>
      <w:r w:rsidRPr="00157176">
        <w:rPr>
          <w:rFonts w:ascii="Arial" w:hAnsi="Arial" w:cs="Arial"/>
        </w:rPr>
        <w:t>In Step 5, the network can optionally configure the CSI-</w:t>
      </w:r>
      <w:r w:rsidRPr="00337030">
        <w:rPr>
          <w:rFonts w:ascii="Arial" w:hAnsi="Arial" w:cs="Arial"/>
          <w:i/>
          <w:iCs/>
        </w:rPr>
        <w:t>ReportConfig</w:t>
      </w:r>
      <w:r w:rsidR="001E3682">
        <w:rPr>
          <w:rFonts w:ascii="Arial" w:hAnsi="Arial" w:cs="Arial"/>
          <w:i/>
          <w:iCs/>
        </w:rPr>
        <w:t>.</w:t>
      </w:r>
      <w:r w:rsidRPr="00157176">
        <w:rPr>
          <w:rFonts w:ascii="Arial" w:hAnsi="Arial" w:cs="Arial"/>
        </w:rPr>
        <w:t xml:space="preserve"> for inference configuration through the RRCReconfiguration message. </w:t>
      </w:r>
      <w:r>
        <w:rPr>
          <w:rFonts w:ascii="Arial" w:hAnsi="Arial" w:cs="Arial"/>
        </w:rPr>
        <w:t>The</w:t>
      </w:r>
      <w:r w:rsidRPr="00157176">
        <w:rPr>
          <w:rFonts w:ascii="Arial" w:hAnsi="Arial" w:cs="Arial"/>
        </w:rPr>
        <w:t xml:space="preserve"> Step 5 may be optional if the UE has already been configured with the CSI-</w:t>
      </w:r>
      <w:r w:rsidRPr="00337030">
        <w:rPr>
          <w:rFonts w:ascii="Arial" w:hAnsi="Arial" w:cs="Arial"/>
          <w:i/>
          <w:iCs/>
        </w:rPr>
        <w:t>ReportConfig</w:t>
      </w:r>
      <w:r w:rsidR="001E3682" w:rsidRPr="00337030">
        <w:rPr>
          <w:rFonts w:ascii="Arial" w:hAnsi="Arial" w:cs="Arial"/>
          <w:i/>
          <w:iCs/>
        </w:rPr>
        <w:t xml:space="preserve">. </w:t>
      </w:r>
      <w:r w:rsidRPr="00157176">
        <w:rPr>
          <w:rFonts w:ascii="Arial" w:hAnsi="Arial" w:cs="Arial"/>
        </w:rPr>
        <w:t>in Step 3</w:t>
      </w:r>
      <w:r>
        <w:rPr>
          <w:rFonts w:ascii="Arial" w:hAnsi="Arial" w:cs="Arial"/>
        </w:rPr>
        <w:t xml:space="preserve"> and may only be applicable to semi-persistent and aperiodic CSI reporting case</w:t>
      </w:r>
      <w:r w:rsidRPr="00157176">
        <w:rPr>
          <w:rFonts w:ascii="Arial" w:hAnsi="Arial" w:cs="Arial"/>
        </w:rPr>
        <w:t>.</w:t>
      </w:r>
      <w:r>
        <w:rPr>
          <w:rFonts w:ascii="Arial" w:hAnsi="Arial" w:cs="Arial"/>
        </w:rPr>
        <w:t xml:space="preserve"> </w:t>
      </w:r>
    </w:p>
    <w:p w14:paraId="563FF9EB" w14:textId="0C350D2D" w:rsidR="00792767" w:rsidRPr="00636745" w:rsidRDefault="00DD247E" w:rsidP="00792767">
      <w:pPr>
        <w:rPr>
          <w:rFonts w:ascii="Arial" w:hAnsi="Arial" w:cs="Arial"/>
        </w:rPr>
      </w:pPr>
      <w:r>
        <w:rPr>
          <w:rFonts w:ascii="Arial" w:hAnsi="Arial" w:cs="Arial"/>
        </w:rPr>
        <w:t>W</w:t>
      </w:r>
      <w:r w:rsidR="00792767" w:rsidRPr="00636745">
        <w:rPr>
          <w:rFonts w:ascii="Arial" w:hAnsi="Arial" w:cs="Arial"/>
        </w:rPr>
        <w:t xml:space="preserve">ith multiple configurations </w:t>
      </w:r>
      <w:r w:rsidR="00792767" w:rsidRPr="00133B97">
        <w:rPr>
          <w:rFonts w:ascii="Arial" w:hAnsi="Arial" w:cs="Arial"/>
          <w:lang w:val="en-US"/>
        </w:rPr>
        <w:t>present</w:t>
      </w:r>
      <w:r w:rsidR="00792767" w:rsidRPr="00636745">
        <w:rPr>
          <w:rFonts w:ascii="Arial" w:hAnsi="Arial" w:cs="Arial"/>
        </w:rPr>
        <w:t>, both the network and UE may need to decide on a primary report or configuration to use at any given time.</w:t>
      </w:r>
    </w:p>
    <w:p w14:paraId="6F638EE6" w14:textId="1A3D6734" w:rsidR="00792767" w:rsidRPr="00133B97" w:rsidRDefault="00792767" w:rsidP="00792767">
      <w:pPr>
        <w:rPr>
          <w:rFonts w:ascii="Arial" w:hAnsi="Arial" w:cs="Arial"/>
          <w:lang w:val="en-US"/>
        </w:rPr>
      </w:pPr>
      <w:r w:rsidRPr="00636745">
        <w:rPr>
          <w:rFonts w:ascii="Arial" w:hAnsi="Arial" w:cs="Arial"/>
        </w:rPr>
        <w:t>To facilitate this selection process, the network can designate a default</w:t>
      </w:r>
      <w:r>
        <w:rPr>
          <w:rFonts w:ascii="Arial" w:hAnsi="Arial" w:cs="Arial"/>
        </w:rPr>
        <w:t xml:space="preserve"> or preferred</w:t>
      </w:r>
      <w:r w:rsidRPr="00133B97">
        <w:rPr>
          <w:rFonts w:ascii="Arial" w:hAnsi="Arial" w:cs="Arial"/>
          <w:lang w:val="en-US"/>
        </w:rPr>
        <w:t xml:space="preserve"> </w:t>
      </w:r>
      <w:r w:rsidRPr="00636745">
        <w:rPr>
          <w:rFonts w:ascii="Arial" w:hAnsi="Arial" w:cs="Arial"/>
        </w:rPr>
        <w:t>CSI-</w:t>
      </w:r>
      <w:r w:rsidRPr="00AE694F">
        <w:rPr>
          <w:rFonts w:ascii="Arial" w:hAnsi="Arial" w:cs="Arial"/>
          <w:i/>
          <w:iCs/>
        </w:rPr>
        <w:t>ReportConfig</w:t>
      </w:r>
      <w:r w:rsidR="001E3682">
        <w:rPr>
          <w:rFonts w:ascii="Arial" w:hAnsi="Arial" w:cs="Arial"/>
          <w:i/>
          <w:iCs/>
        </w:rPr>
        <w:t>.</w:t>
      </w:r>
      <w:r w:rsidRPr="00636745">
        <w:rPr>
          <w:rFonts w:ascii="Arial" w:hAnsi="Arial" w:cs="Arial"/>
        </w:rPr>
        <w:t xml:space="preserve"> during configuration</w:t>
      </w:r>
      <w:r>
        <w:rPr>
          <w:rFonts w:ascii="Arial" w:hAnsi="Arial" w:cs="Arial"/>
        </w:rPr>
        <w:t xml:space="preserve"> (e.g., in step 3)</w:t>
      </w:r>
      <w:r w:rsidRPr="00636745">
        <w:rPr>
          <w:rFonts w:ascii="Arial" w:hAnsi="Arial" w:cs="Arial"/>
        </w:rPr>
        <w:t>. This default setting helps ensure that the UE has a clear starting point for reporting in scenarios where multiple options exist, simplifying the decision-making process</w:t>
      </w:r>
      <w:r w:rsidRPr="00133B97">
        <w:rPr>
          <w:rFonts w:ascii="Arial" w:hAnsi="Arial" w:cs="Arial"/>
          <w:lang w:val="en-US"/>
        </w:rPr>
        <w:t>.</w:t>
      </w:r>
    </w:p>
    <w:p w14:paraId="596E0849" w14:textId="4FEA053A" w:rsidR="00792767" w:rsidRDefault="00792767" w:rsidP="00792767">
      <w:pPr>
        <w:rPr>
          <w:rFonts w:ascii="Arial" w:hAnsi="Arial" w:cs="Arial"/>
          <w:b/>
          <w:bCs/>
          <w:lang w:val="en-US"/>
        </w:rPr>
      </w:pPr>
      <w:r w:rsidRPr="00133B97">
        <w:rPr>
          <w:rFonts w:ascii="Arial" w:hAnsi="Arial" w:cs="Arial"/>
          <w:b/>
          <w:bCs/>
          <w:lang w:val="en-US"/>
        </w:rPr>
        <w:t xml:space="preserve">Proposal </w:t>
      </w:r>
      <w:r w:rsidR="008A2D56">
        <w:rPr>
          <w:rFonts w:ascii="Arial" w:hAnsi="Arial" w:cs="Arial"/>
          <w:b/>
          <w:bCs/>
          <w:lang w:val="en-US"/>
        </w:rPr>
        <w:t>2</w:t>
      </w:r>
      <w:r w:rsidRPr="00133B97">
        <w:rPr>
          <w:rFonts w:ascii="Arial" w:hAnsi="Arial" w:cs="Arial"/>
          <w:b/>
          <w:bCs/>
          <w:lang w:val="en-US"/>
        </w:rPr>
        <w:t xml:space="preserve">: The network may provide a default or preferred configuration in functionality configuration for e.g., </w:t>
      </w:r>
      <w:r>
        <w:rPr>
          <w:rFonts w:ascii="Arial" w:hAnsi="Arial" w:cs="Arial"/>
          <w:b/>
          <w:bCs/>
          <w:lang w:val="en-US"/>
        </w:rPr>
        <w:t xml:space="preserve">a default or preferred </w:t>
      </w:r>
      <w:r w:rsidRPr="00D37902">
        <w:rPr>
          <w:rFonts w:ascii="Arial" w:hAnsi="Arial" w:cs="Arial"/>
          <w:b/>
          <w:bCs/>
          <w:lang w:val="en-US"/>
        </w:rPr>
        <w:t>CSI-</w:t>
      </w:r>
      <w:r w:rsidRPr="00AE694F">
        <w:rPr>
          <w:rFonts w:ascii="Arial" w:hAnsi="Arial" w:cs="Arial"/>
          <w:b/>
          <w:bCs/>
          <w:i/>
          <w:iCs/>
          <w:lang w:val="en-US"/>
        </w:rPr>
        <w:t>ReportConfig</w:t>
      </w:r>
      <w:r w:rsidR="001E3682">
        <w:rPr>
          <w:rFonts w:ascii="Arial" w:hAnsi="Arial" w:cs="Arial"/>
          <w:b/>
          <w:bCs/>
          <w:i/>
          <w:iCs/>
          <w:lang w:val="en-US"/>
        </w:rPr>
        <w:t>.</w:t>
      </w:r>
      <w:r>
        <w:rPr>
          <w:rFonts w:ascii="Arial" w:hAnsi="Arial" w:cs="Arial"/>
          <w:b/>
          <w:bCs/>
          <w:lang w:val="en-US"/>
        </w:rPr>
        <w:t xml:space="preserve"> either in step 3 or 5 respectively.</w:t>
      </w:r>
      <w:r w:rsidRPr="00133B97" w:rsidDel="00CE6E0B">
        <w:rPr>
          <w:rFonts w:ascii="Arial" w:hAnsi="Arial" w:cs="Arial"/>
          <w:b/>
          <w:bCs/>
          <w:lang w:val="en-US"/>
        </w:rPr>
        <w:t xml:space="preserve"> </w:t>
      </w:r>
    </w:p>
    <w:p w14:paraId="0C938587" w14:textId="26DE89B4" w:rsidR="008264E5" w:rsidRPr="00337030" w:rsidRDefault="00792767" w:rsidP="00792767">
      <w:pPr>
        <w:tabs>
          <w:tab w:val="left" w:pos="360"/>
        </w:tabs>
        <w:overflowPunct/>
        <w:autoSpaceDE/>
        <w:autoSpaceDN/>
        <w:snapToGrid w:val="0"/>
        <w:spacing w:after="0" w:line="240" w:lineRule="auto"/>
        <w:textAlignment w:val="auto"/>
        <w:rPr>
          <w:rFonts w:ascii="Arial" w:hAnsi="Arial" w:cs="Arial"/>
        </w:rPr>
      </w:pPr>
      <w:r w:rsidRPr="00337030">
        <w:rPr>
          <w:rFonts w:ascii="Arial" w:hAnsi="Arial" w:cs="Arial"/>
        </w:rPr>
        <w:t xml:space="preserve">As per RAN 1 agreements [3], In step 4, the UE reports applicability for all the above </w:t>
      </w:r>
      <w:r w:rsidR="008264E5" w:rsidRPr="00337030">
        <w:rPr>
          <w:rFonts w:ascii="Arial" w:hAnsi="Arial" w:cs="Arial"/>
        </w:rPr>
        <w:t xml:space="preserve">option </w:t>
      </w:r>
      <w:r w:rsidRPr="00337030">
        <w:rPr>
          <w:rFonts w:ascii="Arial" w:hAnsi="Arial" w:cs="Arial"/>
        </w:rPr>
        <w:t>A) one or more CSI-</w:t>
      </w:r>
      <w:r w:rsidRPr="00337030">
        <w:rPr>
          <w:rFonts w:ascii="Arial" w:hAnsi="Arial" w:cs="Arial"/>
          <w:i/>
          <w:iCs/>
        </w:rPr>
        <w:t>ReportConfig</w:t>
      </w:r>
      <w:r w:rsidR="001E3682">
        <w:rPr>
          <w:rFonts w:ascii="Arial" w:hAnsi="Arial" w:cs="Arial"/>
          <w:i/>
          <w:iCs/>
        </w:rPr>
        <w:t>.</w:t>
      </w:r>
      <w:r w:rsidRPr="00337030">
        <w:rPr>
          <w:rFonts w:ascii="Arial" w:hAnsi="Arial" w:cs="Arial"/>
        </w:rPr>
        <w:t> and/or</w:t>
      </w:r>
      <w:r w:rsidR="008264E5" w:rsidRPr="00337030">
        <w:rPr>
          <w:rFonts w:ascii="Arial" w:hAnsi="Arial" w:cs="Arial"/>
        </w:rPr>
        <w:t xml:space="preserve"> option</w:t>
      </w:r>
      <w:r w:rsidRPr="00337030">
        <w:rPr>
          <w:rFonts w:ascii="Arial" w:hAnsi="Arial" w:cs="Arial"/>
        </w:rPr>
        <w:t xml:space="preserve"> B) set(s) of inference related parameters. It is FFS on </w:t>
      </w:r>
      <w:r w:rsidRPr="00337030">
        <w:rPr>
          <w:rFonts w:ascii="Arial" w:hAnsi="Arial" w:cs="Arial"/>
        </w:rPr>
        <w:lastRenderedPageBreak/>
        <w:t>whether/what other information along with the applicability is needed. Thus, in step 4 the UE may also indicate to the network its preferred configuration</w:t>
      </w:r>
      <w:r w:rsidR="008264E5" w:rsidRPr="00337030">
        <w:rPr>
          <w:rFonts w:ascii="Arial" w:hAnsi="Arial" w:cs="Arial"/>
        </w:rPr>
        <w:t xml:space="preserve"> or parameter set</w:t>
      </w:r>
      <w:r w:rsidRPr="00337030">
        <w:rPr>
          <w:rFonts w:ascii="Arial" w:hAnsi="Arial" w:cs="Arial"/>
        </w:rPr>
        <w:t xml:space="preserve">. The network may consider UE’s preference when deciding which configurations/functionality to activate or deactivate. </w:t>
      </w:r>
    </w:p>
    <w:p w14:paraId="3BD31023" w14:textId="77777777" w:rsidR="008264E5" w:rsidRPr="00337030" w:rsidRDefault="008264E5" w:rsidP="00792767">
      <w:pPr>
        <w:tabs>
          <w:tab w:val="left" w:pos="360"/>
        </w:tabs>
        <w:overflowPunct/>
        <w:autoSpaceDE/>
        <w:autoSpaceDN/>
        <w:snapToGrid w:val="0"/>
        <w:spacing w:after="0" w:line="240" w:lineRule="auto"/>
        <w:textAlignment w:val="auto"/>
        <w:rPr>
          <w:rFonts w:ascii="Arial" w:hAnsi="Arial" w:cs="Arial"/>
        </w:rPr>
      </w:pPr>
    </w:p>
    <w:p w14:paraId="6C949E6D" w14:textId="77777777" w:rsidR="001E3682" w:rsidRDefault="008264E5" w:rsidP="00792767">
      <w:pPr>
        <w:tabs>
          <w:tab w:val="left" w:pos="360"/>
        </w:tabs>
        <w:overflowPunct/>
        <w:autoSpaceDE/>
        <w:autoSpaceDN/>
        <w:snapToGrid w:val="0"/>
        <w:spacing w:after="0" w:line="240" w:lineRule="auto"/>
        <w:textAlignment w:val="auto"/>
        <w:rPr>
          <w:rFonts w:ascii="Arial" w:hAnsi="Arial" w:cs="Arial"/>
        </w:rPr>
      </w:pPr>
      <w:r w:rsidRPr="00337030">
        <w:rPr>
          <w:rFonts w:ascii="Arial" w:hAnsi="Arial" w:cs="Arial"/>
        </w:rPr>
        <w:t>A similar agreement was made for data collection</w:t>
      </w:r>
      <w:r>
        <w:rPr>
          <w:rFonts w:ascii="Arial" w:hAnsi="Arial" w:cs="Arial"/>
        </w:rPr>
        <w:t xml:space="preserve"> aspects</w:t>
      </w:r>
      <w:r w:rsidRPr="00337030">
        <w:rPr>
          <w:rFonts w:ascii="Arial" w:hAnsi="Arial" w:cs="Arial"/>
        </w:rPr>
        <w:t>, where the UE may select a preferred configuration from a list of candidate configurations provided by the network.</w:t>
      </w:r>
      <w:r w:rsidRPr="00337030">
        <w:rPr>
          <w:rFonts w:ascii="Arial" w:hAnsi="Arial" w:cs="Arial"/>
        </w:rPr>
        <w:br/>
      </w:r>
    </w:p>
    <w:p w14:paraId="56B78E4A" w14:textId="403FADCC" w:rsidR="00792767" w:rsidRPr="00337030" w:rsidRDefault="008264E5" w:rsidP="00792767">
      <w:pPr>
        <w:tabs>
          <w:tab w:val="left" w:pos="360"/>
        </w:tabs>
        <w:overflowPunct/>
        <w:autoSpaceDE/>
        <w:autoSpaceDN/>
        <w:snapToGrid w:val="0"/>
        <w:spacing w:after="0" w:line="240" w:lineRule="auto"/>
        <w:textAlignment w:val="auto"/>
        <w:rPr>
          <w:rFonts w:ascii="Arial" w:hAnsi="Arial" w:cs="Arial"/>
        </w:rPr>
      </w:pPr>
      <w:r w:rsidRPr="00337030">
        <w:rPr>
          <w:rFonts w:ascii="Arial" w:hAnsi="Arial" w:cs="Arial"/>
        </w:rPr>
        <w:t xml:space="preserve">Following similar approach, the UE can indicate its preferred configuration(s) to the network based on </w:t>
      </w:r>
      <w:r w:rsidR="00624CA9">
        <w:rPr>
          <w:rFonts w:ascii="Arial" w:hAnsi="Arial" w:cs="Arial"/>
        </w:rPr>
        <w:t>its applicability</w:t>
      </w:r>
      <w:r w:rsidRPr="00337030">
        <w:rPr>
          <w:rFonts w:ascii="Arial" w:hAnsi="Arial" w:cs="Arial"/>
        </w:rPr>
        <w:t>.</w:t>
      </w:r>
      <w:r w:rsidR="00E9149D">
        <w:rPr>
          <w:rFonts w:ascii="Arial" w:hAnsi="Arial" w:cs="Arial"/>
        </w:rPr>
        <w:t xml:space="preserve"> This may help network in selecting/activating a stable configuration at the UE.</w:t>
      </w:r>
    </w:p>
    <w:p w14:paraId="3C298DEC" w14:textId="77777777" w:rsidR="008264E5" w:rsidRPr="00337030" w:rsidRDefault="008264E5" w:rsidP="00792767">
      <w:pPr>
        <w:tabs>
          <w:tab w:val="left" w:pos="360"/>
        </w:tabs>
        <w:overflowPunct/>
        <w:autoSpaceDE/>
        <w:autoSpaceDN/>
        <w:snapToGrid w:val="0"/>
        <w:spacing w:after="0" w:line="240" w:lineRule="auto"/>
        <w:textAlignment w:val="auto"/>
        <w:rPr>
          <w:rFonts w:ascii="Arial" w:hAnsi="Arial" w:cs="Arial"/>
        </w:rPr>
      </w:pPr>
    </w:p>
    <w:p w14:paraId="73941B1C" w14:textId="11C9CF79" w:rsidR="00EF5EDB" w:rsidRDefault="00792767" w:rsidP="005A1548">
      <w:pPr>
        <w:rPr>
          <w:rFonts w:ascii="Arial" w:hAnsi="Arial" w:cs="Arial"/>
        </w:rPr>
      </w:pPr>
      <w:r w:rsidRPr="00337030">
        <w:rPr>
          <w:rFonts w:ascii="Arial" w:hAnsi="Arial" w:cs="Arial"/>
          <w:b/>
          <w:bCs/>
        </w:rPr>
        <w:t xml:space="preserve">Proposal </w:t>
      </w:r>
      <w:r w:rsidR="008A2D56" w:rsidRPr="00337030">
        <w:rPr>
          <w:rFonts w:ascii="Arial" w:hAnsi="Arial" w:cs="Arial"/>
          <w:b/>
          <w:bCs/>
        </w:rPr>
        <w:t>3</w:t>
      </w:r>
      <w:r w:rsidRPr="00337030">
        <w:rPr>
          <w:rFonts w:ascii="Arial" w:hAnsi="Arial" w:cs="Arial"/>
          <w:b/>
          <w:bCs/>
        </w:rPr>
        <w:t>: The UE may indicate preferred configuration (s) to the network (e.g., preferred CSI-</w:t>
      </w:r>
      <w:r w:rsidRPr="00337030">
        <w:rPr>
          <w:rFonts w:ascii="Arial" w:hAnsi="Arial" w:cs="Arial"/>
          <w:b/>
          <w:bCs/>
          <w:i/>
          <w:iCs/>
        </w:rPr>
        <w:t>ReportConfig</w:t>
      </w:r>
      <w:r w:rsidR="001E3682" w:rsidRPr="00337030">
        <w:rPr>
          <w:rFonts w:ascii="Arial" w:hAnsi="Arial" w:cs="Arial"/>
          <w:b/>
          <w:bCs/>
          <w:i/>
          <w:iCs/>
        </w:rPr>
        <w:t>.</w:t>
      </w:r>
      <w:r w:rsidRPr="00337030">
        <w:rPr>
          <w:rFonts w:ascii="Arial" w:hAnsi="Arial" w:cs="Arial"/>
          <w:b/>
          <w:bCs/>
        </w:rPr>
        <w:t>) in step 4.</w:t>
      </w:r>
    </w:p>
    <w:p w14:paraId="11E69F1C" w14:textId="22FDF68A" w:rsidR="001351B4" w:rsidRPr="00337030" w:rsidRDefault="001E3682" w:rsidP="00337030">
      <w:pPr>
        <w:pStyle w:val="Heading1"/>
        <w:rPr>
          <w:b/>
          <w:bCs/>
          <w:sz w:val="28"/>
          <w:szCs w:val="28"/>
        </w:rPr>
      </w:pPr>
      <w:r w:rsidRPr="001E3682">
        <w:rPr>
          <w:rFonts w:cs="Arial"/>
          <w:b/>
          <w:bCs/>
          <w:sz w:val="28"/>
          <w:szCs w:val="28"/>
        </w:rPr>
        <w:t xml:space="preserve">Frequent Activation-deactivation of functionality or configurations     </w:t>
      </w:r>
      <w:r w:rsidR="00923DFB" w:rsidRPr="00337030">
        <w:rPr>
          <w:rFonts w:cs="Arial"/>
          <w:b/>
          <w:bCs/>
          <w:sz w:val="28"/>
          <w:szCs w:val="28"/>
        </w:rPr>
        <w:t>when they become applicable or inapplicable</w:t>
      </w:r>
      <w:r w:rsidR="00923DFB" w:rsidRPr="00337030" w:rsidDel="00C935AB">
        <w:rPr>
          <w:b/>
          <w:bCs/>
          <w:sz w:val="28"/>
          <w:szCs w:val="28"/>
        </w:rPr>
        <w:t xml:space="preserve"> </w:t>
      </w:r>
    </w:p>
    <w:p w14:paraId="5D416243" w14:textId="611DE35F" w:rsidR="00AD4D68" w:rsidRPr="007145DC" w:rsidRDefault="008C527B" w:rsidP="00AD4D68">
      <w:pPr>
        <w:pStyle w:val="NormalWeb"/>
        <w:jc w:val="both"/>
        <w:rPr>
          <w:rFonts w:ascii="Arial" w:hAnsi="Arial" w:cs="Arial"/>
          <w:sz w:val="22"/>
          <w:szCs w:val="22"/>
          <w:lang w:val="en-US"/>
        </w:rPr>
      </w:pPr>
      <w:r>
        <w:rPr>
          <w:rFonts w:ascii="Arial" w:hAnsi="Arial" w:cs="Arial"/>
          <w:sz w:val="22"/>
          <w:szCs w:val="22"/>
        </w:rPr>
        <w:t xml:space="preserve">Another issue is how to manage and avoid frequent activation-deactivation of functionality or configurations when they become applicable or inapplicable respectively. </w:t>
      </w:r>
      <w:r w:rsidR="00AD4D68" w:rsidRPr="007145DC">
        <w:rPr>
          <w:rFonts w:ascii="Arial" w:hAnsi="Arial" w:cs="Arial"/>
          <w:sz w:val="22"/>
          <w:szCs w:val="22"/>
        </w:rPr>
        <w:t>When a functionality becomes inapplicable after activation,</w:t>
      </w:r>
      <w:r w:rsidR="00AD4D68" w:rsidRPr="007145DC">
        <w:rPr>
          <w:rFonts w:ascii="Arial" w:hAnsi="Arial" w:cs="Arial"/>
          <w:sz w:val="22"/>
          <w:szCs w:val="22"/>
          <w:lang w:val="en-US"/>
        </w:rPr>
        <w:t xml:space="preserve"> the UE is required to report it to the network. Frequent changes in </w:t>
      </w:r>
      <w:r w:rsidR="006F1262" w:rsidRPr="007145DC">
        <w:rPr>
          <w:rFonts w:ascii="Arial" w:hAnsi="Arial" w:cs="Arial"/>
          <w:sz w:val="22"/>
          <w:szCs w:val="22"/>
          <w:lang w:val="en-US"/>
        </w:rPr>
        <w:t>applicability</w:t>
      </w:r>
      <w:r w:rsidR="00AD4D68" w:rsidRPr="007145DC">
        <w:rPr>
          <w:rFonts w:ascii="Arial" w:hAnsi="Arial" w:cs="Arial"/>
          <w:sz w:val="22"/>
          <w:szCs w:val="22"/>
          <w:lang w:val="en-US"/>
        </w:rPr>
        <w:t>/inapplicab</w:t>
      </w:r>
      <w:r w:rsidR="00821467" w:rsidRPr="007145DC">
        <w:rPr>
          <w:rFonts w:ascii="Arial" w:hAnsi="Arial" w:cs="Arial"/>
          <w:sz w:val="22"/>
          <w:szCs w:val="22"/>
          <w:lang w:val="en-US"/>
        </w:rPr>
        <w:t>ility</w:t>
      </w:r>
      <w:r w:rsidR="000C0812" w:rsidRPr="007145DC">
        <w:rPr>
          <w:rFonts w:ascii="Arial" w:hAnsi="Arial" w:cs="Arial"/>
          <w:sz w:val="22"/>
          <w:szCs w:val="22"/>
          <w:lang w:val="en-US"/>
        </w:rPr>
        <w:t xml:space="preserve"> may lead to increased signaling from the UE to the network. </w:t>
      </w:r>
      <w:r w:rsidR="006F1262" w:rsidRPr="007145DC">
        <w:rPr>
          <w:rFonts w:ascii="Arial" w:hAnsi="Arial" w:cs="Arial"/>
          <w:sz w:val="22"/>
          <w:szCs w:val="22"/>
          <w:lang w:val="en-US"/>
        </w:rPr>
        <w:t xml:space="preserve">If due to fluctuating conditions, </w:t>
      </w:r>
      <w:r w:rsidR="00B26B0D" w:rsidRPr="007145DC">
        <w:rPr>
          <w:rFonts w:ascii="Arial" w:hAnsi="Arial" w:cs="Arial"/>
          <w:sz w:val="22"/>
          <w:szCs w:val="22"/>
          <w:lang w:val="en-US"/>
        </w:rPr>
        <w:t>the applicability of a functionality changes frequently, it may</w:t>
      </w:r>
      <w:r w:rsidR="00AD4D68" w:rsidRPr="007145DC">
        <w:rPr>
          <w:rFonts w:ascii="Arial" w:hAnsi="Arial" w:cs="Arial"/>
          <w:sz w:val="22"/>
          <w:szCs w:val="22"/>
        </w:rPr>
        <w:t xml:space="preserve"> lead to the "ping-pong" phenomenon, where the functionality repeatedly </w:t>
      </w:r>
      <w:r w:rsidR="00825D9B" w:rsidRPr="007145DC">
        <w:rPr>
          <w:rFonts w:ascii="Arial" w:hAnsi="Arial" w:cs="Arial"/>
          <w:sz w:val="22"/>
          <w:szCs w:val="22"/>
        </w:rPr>
        <w:t>activate and deactivate</w:t>
      </w:r>
      <w:r w:rsidR="00AD4D68" w:rsidRPr="007145DC">
        <w:rPr>
          <w:rFonts w:ascii="Arial" w:hAnsi="Arial" w:cs="Arial"/>
          <w:sz w:val="22"/>
          <w:szCs w:val="22"/>
        </w:rPr>
        <w:t xml:space="preserve">. This situation not only creates confusion and inefficiencies within </w:t>
      </w:r>
      <w:r w:rsidR="00494016" w:rsidRPr="007145DC">
        <w:rPr>
          <w:rFonts w:ascii="Arial" w:hAnsi="Arial" w:cs="Arial"/>
          <w:sz w:val="22"/>
          <w:szCs w:val="22"/>
          <w:lang w:val="en-US"/>
        </w:rPr>
        <w:t>UE</w:t>
      </w:r>
      <w:r w:rsidR="00AD4D68" w:rsidRPr="007145DC">
        <w:rPr>
          <w:rFonts w:ascii="Arial" w:hAnsi="Arial" w:cs="Arial"/>
          <w:sz w:val="22"/>
          <w:szCs w:val="22"/>
        </w:rPr>
        <w:t xml:space="preserve"> but also negatively impacts the overall user experience. Furthermore, it can result in unnecessary </w:t>
      </w:r>
      <w:r w:rsidR="00C725F3" w:rsidRPr="007145DC">
        <w:rPr>
          <w:rFonts w:ascii="Arial" w:hAnsi="Arial" w:cs="Arial"/>
          <w:sz w:val="22"/>
          <w:szCs w:val="22"/>
        </w:rPr>
        <w:t>signalling</w:t>
      </w:r>
      <w:r w:rsidR="00135094">
        <w:rPr>
          <w:rFonts w:ascii="Arial" w:hAnsi="Arial" w:cs="Arial"/>
          <w:sz w:val="22"/>
          <w:szCs w:val="22"/>
        </w:rPr>
        <w:t xml:space="preserve"> (e.g., frequent UAI updates from the UE)</w:t>
      </w:r>
      <w:r w:rsidR="00AD4D68" w:rsidRPr="007145DC">
        <w:rPr>
          <w:rFonts w:ascii="Arial" w:hAnsi="Arial" w:cs="Arial"/>
          <w:sz w:val="22"/>
          <w:szCs w:val="22"/>
        </w:rPr>
        <w:t xml:space="preserve"> between the UE and the network, increasing the </w:t>
      </w:r>
      <w:r w:rsidR="00C725F3" w:rsidRPr="007145DC">
        <w:rPr>
          <w:rFonts w:ascii="Arial" w:hAnsi="Arial" w:cs="Arial"/>
          <w:sz w:val="22"/>
          <w:szCs w:val="22"/>
        </w:rPr>
        <w:t>signalling</w:t>
      </w:r>
      <w:r w:rsidR="00AD4D68" w:rsidRPr="007145DC">
        <w:rPr>
          <w:rFonts w:ascii="Arial" w:hAnsi="Arial" w:cs="Arial"/>
          <w:sz w:val="22"/>
          <w:szCs w:val="22"/>
        </w:rPr>
        <w:t xml:space="preserve"> overhead. </w:t>
      </w:r>
    </w:p>
    <w:p w14:paraId="750BEF73" w14:textId="52A8AB9F" w:rsidR="00AD4D68" w:rsidRPr="007145DC" w:rsidRDefault="00AD4D68" w:rsidP="00AD4D68">
      <w:pPr>
        <w:pStyle w:val="NormalWeb"/>
        <w:jc w:val="both"/>
        <w:rPr>
          <w:rFonts w:ascii="Arial" w:hAnsi="Arial" w:cs="Arial"/>
          <w:sz w:val="22"/>
          <w:szCs w:val="22"/>
        </w:rPr>
      </w:pPr>
      <w:r w:rsidRPr="007145DC">
        <w:rPr>
          <w:rFonts w:ascii="Arial" w:hAnsi="Arial" w:cs="Arial"/>
          <w:sz w:val="22"/>
          <w:szCs w:val="22"/>
        </w:rPr>
        <w:t xml:space="preserve">The frequent changes between different functionality statuses can significantly impact functionality </w:t>
      </w:r>
      <w:r w:rsidR="009755C7">
        <w:rPr>
          <w:rFonts w:ascii="Arial" w:hAnsi="Arial" w:cs="Arial"/>
          <w:sz w:val="22"/>
          <w:szCs w:val="22"/>
        </w:rPr>
        <w:t>LCM</w:t>
      </w:r>
      <w:r w:rsidRPr="007145DC">
        <w:rPr>
          <w:rFonts w:ascii="Arial" w:hAnsi="Arial" w:cs="Arial"/>
          <w:sz w:val="22"/>
          <w:szCs w:val="22"/>
        </w:rPr>
        <w:t xml:space="preserve">. These frequent transitions may require more resources for performance monitoring and may lead to repeated activation and deactivation, which results in higher </w:t>
      </w:r>
      <w:r w:rsidR="0079709A" w:rsidRPr="007145DC">
        <w:rPr>
          <w:rFonts w:ascii="Arial" w:hAnsi="Arial" w:cs="Arial"/>
          <w:sz w:val="22"/>
          <w:szCs w:val="22"/>
        </w:rPr>
        <w:t>signalling</w:t>
      </w:r>
      <w:r w:rsidRPr="007145DC">
        <w:rPr>
          <w:rFonts w:ascii="Arial" w:hAnsi="Arial" w:cs="Arial"/>
          <w:sz w:val="22"/>
          <w:szCs w:val="22"/>
        </w:rPr>
        <w:t xml:space="preserve"> and resource overhead.</w:t>
      </w:r>
    </w:p>
    <w:p w14:paraId="5086F2AB" w14:textId="5B295DEF" w:rsidR="00E4268B" w:rsidRPr="007145DC" w:rsidRDefault="00E4268B" w:rsidP="00AD4D68">
      <w:pPr>
        <w:pStyle w:val="NormalWeb"/>
        <w:jc w:val="both"/>
        <w:rPr>
          <w:rFonts w:ascii="Arial" w:hAnsi="Arial" w:cs="Arial"/>
          <w:b/>
          <w:bCs/>
          <w:sz w:val="22"/>
          <w:szCs w:val="22"/>
        </w:rPr>
      </w:pPr>
      <w:r w:rsidRPr="007145DC">
        <w:rPr>
          <w:rFonts w:ascii="Arial" w:hAnsi="Arial" w:cs="Arial"/>
          <w:b/>
          <w:bCs/>
          <w:sz w:val="22"/>
          <w:szCs w:val="22"/>
        </w:rPr>
        <w:t>Observation 2: Applicable functionalities are dynamic in nature and may fluctuate due to variations in the UE's environment, network-side additional conditions, UE-side additional conditions, or the availability of the AI/ML model.</w:t>
      </w:r>
    </w:p>
    <w:p w14:paraId="30E052D9" w14:textId="19F28B8B" w:rsidR="0037524C" w:rsidRPr="007145DC" w:rsidRDefault="00AD4D68" w:rsidP="00AD4D68">
      <w:pPr>
        <w:pStyle w:val="NormalWeb"/>
        <w:jc w:val="both"/>
        <w:rPr>
          <w:rFonts w:ascii="Arial" w:hAnsi="Arial" w:cs="Arial"/>
          <w:sz w:val="22"/>
          <w:szCs w:val="22"/>
        </w:rPr>
      </w:pPr>
      <w:r w:rsidRPr="007145DC">
        <w:rPr>
          <w:rFonts w:ascii="Arial" w:hAnsi="Arial" w:cs="Arial"/>
          <w:sz w:val="22"/>
          <w:szCs w:val="22"/>
        </w:rPr>
        <w:t xml:space="preserve">From the network's perspective, it is preferable to choose functionalities for inference that are likely to remain </w:t>
      </w:r>
      <w:r w:rsidR="00B055BC">
        <w:rPr>
          <w:rFonts w:ascii="Arial" w:hAnsi="Arial" w:cs="Arial"/>
          <w:sz w:val="22"/>
          <w:szCs w:val="22"/>
        </w:rPr>
        <w:t xml:space="preserve">stable and </w:t>
      </w:r>
      <w:r w:rsidRPr="007145DC">
        <w:rPr>
          <w:rFonts w:ascii="Arial" w:hAnsi="Arial" w:cs="Arial"/>
          <w:sz w:val="22"/>
          <w:szCs w:val="22"/>
        </w:rPr>
        <w:t xml:space="preserve">applicable for an extended period and are not prone to frequent status changes—particularly those affected by dynamic UE-side conditions. To assist the network in selecting the appropriate configurations, it would be beneficial for the UE to provide more than just the basic applicability information. </w:t>
      </w:r>
    </w:p>
    <w:p w14:paraId="4F3BECC9" w14:textId="38B3079A" w:rsidR="00F876E1" w:rsidRDefault="00AD4D68" w:rsidP="00AD4D68">
      <w:pPr>
        <w:pStyle w:val="NormalWeb"/>
        <w:jc w:val="both"/>
        <w:rPr>
          <w:rFonts w:ascii="Arial" w:hAnsi="Arial" w:cs="Arial"/>
          <w:sz w:val="22"/>
          <w:szCs w:val="22"/>
        </w:rPr>
      </w:pPr>
      <w:r w:rsidRPr="007145DC">
        <w:rPr>
          <w:rFonts w:ascii="Arial" w:hAnsi="Arial" w:cs="Arial"/>
          <w:sz w:val="22"/>
          <w:szCs w:val="22"/>
        </w:rPr>
        <w:t xml:space="preserve">Specifically, the UE could </w:t>
      </w:r>
      <w:r w:rsidR="00F50C68" w:rsidRPr="007145DC">
        <w:rPr>
          <w:rFonts w:ascii="Arial" w:hAnsi="Arial" w:cs="Arial"/>
          <w:sz w:val="22"/>
          <w:szCs w:val="22"/>
        </w:rPr>
        <w:t>send</w:t>
      </w:r>
      <w:r w:rsidRPr="007145DC">
        <w:rPr>
          <w:rFonts w:ascii="Arial" w:hAnsi="Arial" w:cs="Arial"/>
          <w:sz w:val="22"/>
          <w:szCs w:val="22"/>
        </w:rPr>
        <w:t xml:space="preserve"> an indication </w:t>
      </w:r>
      <w:r w:rsidR="004D1771" w:rsidRPr="007145DC">
        <w:rPr>
          <w:rFonts w:ascii="Arial" w:hAnsi="Arial" w:cs="Arial"/>
          <w:sz w:val="22"/>
          <w:szCs w:val="22"/>
        </w:rPr>
        <w:t>called</w:t>
      </w:r>
      <w:r w:rsidRPr="007145DC">
        <w:rPr>
          <w:rFonts w:ascii="Arial" w:hAnsi="Arial" w:cs="Arial"/>
          <w:sz w:val="22"/>
          <w:szCs w:val="22"/>
        </w:rPr>
        <w:t xml:space="preserve"> "</w:t>
      </w:r>
      <w:r w:rsidR="004D1771" w:rsidRPr="007145DC">
        <w:rPr>
          <w:rFonts w:ascii="Arial" w:hAnsi="Arial" w:cs="Arial"/>
          <w:sz w:val="22"/>
          <w:szCs w:val="22"/>
        </w:rPr>
        <w:t xml:space="preserve">applicable functionality </w:t>
      </w:r>
      <w:r w:rsidR="00B20B96" w:rsidRPr="007145DC">
        <w:rPr>
          <w:rFonts w:ascii="Arial" w:hAnsi="Arial" w:cs="Arial"/>
          <w:sz w:val="22"/>
          <w:szCs w:val="22"/>
        </w:rPr>
        <w:t>stability index</w:t>
      </w:r>
      <w:r w:rsidRPr="007145DC">
        <w:rPr>
          <w:rFonts w:ascii="Arial" w:hAnsi="Arial" w:cs="Arial"/>
          <w:sz w:val="22"/>
          <w:szCs w:val="22"/>
        </w:rPr>
        <w:t>"</w:t>
      </w:r>
      <w:r w:rsidR="00980271">
        <w:rPr>
          <w:rFonts w:ascii="Arial" w:hAnsi="Arial" w:cs="Arial"/>
          <w:sz w:val="22"/>
          <w:szCs w:val="22"/>
        </w:rPr>
        <w:t xml:space="preserve"> or </w:t>
      </w:r>
      <w:r w:rsidR="00980271" w:rsidRPr="0092778B">
        <w:rPr>
          <w:rFonts w:ascii="Arial" w:hAnsi="Arial" w:cs="Arial"/>
          <w:sz w:val="22"/>
          <w:szCs w:val="22"/>
        </w:rPr>
        <w:t>StabilityIndex</w:t>
      </w:r>
      <w:r w:rsidR="00B20B96" w:rsidRPr="007145DC">
        <w:rPr>
          <w:rFonts w:ascii="Arial" w:hAnsi="Arial" w:cs="Arial"/>
          <w:sz w:val="22"/>
          <w:szCs w:val="22"/>
        </w:rPr>
        <w:t>.</w:t>
      </w:r>
      <w:r w:rsidRPr="007145DC">
        <w:rPr>
          <w:rFonts w:ascii="Arial" w:hAnsi="Arial" w:cs="Arial"/>
          <w:sz w:val="22"/>
          <w:szCs w:val="22"/>
        </w:rPr>
        <w:t xml:space="preserve"> </w:t>
      </w:r>
      <w:r w:rsidR="00FA2F29" w:rsidRPr="007145DC">
        <w:rPr>
          <w:rFonts w:ascii="Arial" w:hAnsi="Arial" w:cs="Arial"/>
          <w:sz w:val="22"/>
          <w:szCs w:val="22"/>
        </w:rPr>
        <w:t>The</w:t>
      </w:r>
      <w:r w:rsidR="004D1771" w:rsidRPr="007145DC">
        <w:rPr>
          <w:rFonts w:ascii="Arial" w:hAnsi="Arial" w:cs="Arial"/>
          <w:sz w:val="22"/>
          <w:szCs w:val="22"/>
        </w:rPr>
        <w:t xml:space="preserve"> </w:t>
      </w:r>
      <w:r w:rsidR="009005A4" w:rsidRPr="009005A4">
        <w:rPr>
          <w:rFonts w:ascii="Arial" w:hAnsi="Arial" w:cs="Arial"/>
          <w:sz w:val="22"/>
          <w:szCs w:val="22"/>
        </w:rPr>
        <w:t>StabilityIndex</w:t>
      </w:r>
      <w:r w:rsidR="009005A4" w:rsidRPr="009005A4" w:rsidDel="009005A4">
        <w:rPr>
          <w:rFonts w:ascii="Arial" w:hAnsi="Arial" w:cs="Arial"/>
          <w:sz w:val="22"/>
          <w:szCs w:val="22"/>
        </w:rPr>
        <w:t xml:space="preserve"> </w:t>
      </w:r>
      <w:r w:rsidR="0042198D" w:rsidRPr="007145DC">
        <w:rPr>
          <w:rFonts w:ascii="Arial" w:hAnsi="Arial" w:cs="Arial"/>
          <w:sz w:val="22"/>
          <w:szCs w:val="22"/>
        </w:rPr>
        <w:t>may help the UE and the network to evaluate and</w:t>
      </w:r>
      <w:r w:rsidR="00EC0938" w:rsidRPr="007145DC">
        <w:rPr>
          <w:rFonts w:ascii="Arial" w:hAnsi="Arial" w:cs="Arial"/>
          <w:sz w:val="22"/>
          <w:szCs w:val="22"/>
        </w:rPr>
        <w:t xml:space="preserve"> determine the stability of an applicable functionality for example, </w:t>
      </w:r>
      <w:r w:rsidR="00FA2F29" w:rsidRPr="007145DC">
        <w:rPr>
          <w:rFonts w:ascii="Arial" w:hAnsi="Arial" w:cs="Arial"/>
          <w:sz w:val="22"/>
          <w:szCs w:val="22"/>
        </w:rPr>
        <w:t>the probability of how long a functionality may remain applicable</w:t>
      </w:r>
      <w:r w:rsidR="004D1771" w:rsidRPr="007145DC">
        <w:rPr>
          <w:rFonts w:ascii="Arial" w:hAnsi="Arial" w:cs="Arial"/>
          <w:sz w:val="22"/>
          <w:szCs w:val="22"/>
        </w:rPr>
        <w:t xml:space="preserve"> under given conditions</w:t>
      </w:r>
      <w:r w:rsidR="00EC0938" w:rsidRPr="007145DC">
        <w:rPr>
          <w:rFonts w:ascii="Arial" w:hAnsi="Arial" w:cs="Arial"/>
          <w:sz w:val="22"/>
          <w:szCs w:val="22"/>
        </w:rPr>
        <w:t>.</w:t>
      </w:r>
      <w:r w:rsidR="004D1771" w:rsidRPr="007145DC">
        <w:rPr>
          <w:rFonts w:ascii="Arial" w:hAnsi="Arial" w:cs="Arial"/>
          <w:sz w:val="22"/>
          <w:szCs w:val="22"/>
        </w:rPr>
        <w:t xml:space="preserve"> </w:t>
      </w:r>
      <w:r w:rsidR="002149F9">
        <w:rPr>
          <w:rFonts w:ascii="Arial" w:hAnsi="Arial" w:cs="Arial"/>
          <w:sz w:val="22"/>
          <w:szCs w:val="22"/>
        </w:rPr>
        <w:t>I</w:t>
      </w:r>
      <w:r w:rsidR="004D1771" w:rsidRPr="007145DC">
        <w:rPr>
          <w:rFonts w:ascii="Arial" w:hAnsi="Arial" w:cs="Arial"/>
          <w:sz w:val="22"/>
          <w:szCs w:val="22"/>
        </w:rPr>
        <w:t>f the UE anticipates that a certain inference operation might</w:t>
      </w:r>
      <w:r w:rsidR="002149F9">
        <w:rPr>
          <w:rFonts w:ascii="Arial" w:hAnsi="Arial" w:cs="Arial"/>
          <w:sz w:val="22"/>
          <w:szCs w:val="22"/>
        </w:rPr>
        <w:t xml:space="preserve"> for example,</w:t>
      </w:r>
      <w:r w:rsidR="004D1771" w:rsidRPr="007145DC">
        <w:rPr>
          <w:rFonts w:ascii="Arial" w:hAnsi="Arial" w:cs="Arial"/>
          <w:sz w:val="22"/>
          <w:szCs w:val="22"/>
        </w:rPr>
        <w:t xml:space="preserve"> exceed its processing capacity or that a model is only applicable under specific conditions (such as the current UE speed)</w:t>
      </w:r>
      <w:r w:rsidR="005F748A">
        <w:rPr>
          <w:rFonts w:ascii="Arial" w:hAnsi="Arial" w:cs="Arial"/>
          <w:sz w:val="22"/>
          <w:szCs w:val="22"/>
        </w:rPr>
        <w:t>,</w:t>
      </w:r>
      <w:r w:rsidR="008D3D6E" w:rsidRPr="007145DC">
        <w:rPr>
          <w:rFonts w:ascii="Arial" w:hAnsi="Arial" w:cs="Arial"/>
          <w:sz w:val="22"/>
          <w:szCs w:val="22"/>
        </w:rPr>
        <w:t xml:space="preserve"> </w:t>
      </w:r>
      <w:r w:rsidR="005F748A">
        <w:rPr>
          <w:rFonts w:ascii="Arial" w:hAnsi="Arial" w:cs="Arial"/>
          <w:sz w:val="22"/>
          <w:szCs w:val="22"/>
        </w:rPr>
        <w:t>this could be</w:t>
      </w:r>
      <w:r w:rsidR="008D3D6E" w:rsidRPr="007145DC">
        <w:rPr>
          <w:rFonts w:ascii="Arial" w:hAnsi="Arial" w:cs="Arial"/>
          <w:sz w:val="22"/>
          <w:szCs w:val="22"/>
        </w:rPr>
        <w:t xml:space="preserve"> reflected in </w:t>
      </w:r>
      <w:r w:rsidR="004101D3" w:rsidRPr="0092778B">
        <w:rPr>
          <w:rFonts w:ascii="Arial" w:hAnsi="Arial" w:cs="Arial"/>
          <w:sz w:val="22"/>
          <w:szCs w:val="22"/>
        </w:rPr>
        <w:t>StabilityIndex</w:t>
      </w:r>
      <w:r w:rsidR="004101D3" w:rsidRPr="007145DC" w:rsidDel="004101D3">
        <w:rPr>
          <w:rFonts w:ascii="Arial" w:hAnsi="Arial" w:cs="Arial"/>
          <w:sz w:val="22"/>
          <w:szCs w:val="22"/>
        </w:rPr>
        <w:t xml:space="preserve"> </w:t>
      </w:r>
      <w:r w:rsidR="008D3D6E" w:rsidRPr="007145DC">
        <w:rPr>
          <w:rFonts w:ascii="Arial" w:hAnsi="Arial" w:cs="Arial"/>
          <w:sz w:val="22"/>
          <w:szCs w:val="22"/>
        </w:rPr>
        <w:t>and indicated to</w:t>
      </w:r>
      <w:r w:rsidR="004D1771" w:rsidRPr="007145DC">
        <w:rPr>
          <w:rFonts w:ascii="Arial" w:hAnsi="Arial" w:cs="Arial"/>
          <w:sz w:val="22"/>
          <w:szCs w:val="22"/>
        </w:rPr>
        <w:t xml:space="preserve"> the network</w:t>
      </w:r>
      <w:r w:rsidR="008D3D6E" w:rsidRPr="007145DC">
        <w:rPr>
          <w:rFonts w:ascii="Arial" w:hAnsi="Arial" w:cs="Arial"/>
          <w:sz w:val="22"/>
          <w:szCs w:val="22"/>
        </w:rPr>
        <w:t>.</w:t>
      </w:r>
      <w:r w:rsidR="00363E8B" w:rsidRPr="007145DC">
        <w:rPr>
          <w:rFonts w:ascii="Arial" w:hAnsi="Arial" w:cs="Arial"/>
          <w:sz w:val="22"/>
          <w:szCs w:val="22"/>
        </w:rPr>
        <w:t xml:space="preserve"> </w:t>
      </w:r>
    </w:p>
    <w:p w14:paraId="65EDF20E" w14:textId="311417A2" w:rsidR="00AD4D68" w:rsidRPr="007145DC" w:rsidRDefault="00363E8B" w:rsidP="00AD4D68">
      <w:pPr>
        <w:pStyle w:val="NormalWeb"/>
        <w:jc w:val="both"/>
        <w:rPr>
          <w:rFonts w:ascii="Arial" w:hAnsi="Arial" w:cs="Arial"/>
          <w:sz w:val="22"/>
          <w:szCs w:val="22"/>
        </w:rPr>
      </w:pPr>
      <w:r w:rsidRPr="007145DC">
        <w:rPr>
          <w:rFonts w:ascii="Arial" w:hAnsi="Arial" w:cs="Arial"/>
          <w:sz w:val="22"/>
          <w:szCs w:val="22"/>
        </w:rPr>
        <w:t xml:space="preserve">The UE may compute </w:t>
      </w:r>
      <w:r w:rsidR="007C3171">
        <w:rPr>
          <w:rFonts w:ascii="Arial" w:hAnsi="Arial" w:cs="Arial"/>
          <w:sz w:val="22"/>
          <w:szCs w:val="22"/>
        </w:rPr>
        <w:t>a metric for e.g</w:t>
      </w:r>
      <w:r w:rsidR="00845071">
        <w:rPr>
          <w:rFonts w:ascii="Arial" w:hAnsi="Arial" w:cs="Arial"/>
          <w:sz w:val="22"/>
          <w:szCs w:val="22"/>
        </w:rPr>
        <w:t>.</w:t>
      </w:r>
      <w:r w:rsidR="007C3171">
        <w:rPr>
          <w:rFonts w:ascii="Arial" w:hAnsi="Arial" w:cs="Arial"/>
          <w:sz w:val="22"/>
          <w:szCs w:val="22"/>
        </w:rPr>
        <w:t>,</w:t>
      </w:r>
      <w:r w:rsidR="007C3171" w:rsidRPr="007145DC">
        <w:rPr>
          <w:rFonts w:ascii="Arial" w:hAnsi="Arial" w:cs="Arial"/>
          <w:sz w:val="22"/>
          <w:szCs w:val="22"/>
        </w:rPr>
        <w:t xml:space="preserve"> </w:t>
      </w:r>
      <w:r w:rsidRPr="007145DC">
        <w:rPr>
          <w:rFonts w:ascii="Arial" w:hAnsi="Arial" w:cs="Arial"/>
          <w:sz w:val="22"/>
          <w:szCs w:val="22"/>
        </w:rPr>
        <w:t xml:space="preserve">applicable functionality index </w:t>
      </w:r>
      <w:r w:rsidRPr="007145DC">
        <w:rPr>
          <w:rFonts w:ascii="Arial" w:hAnsi="Arial" w:cs="Arial"/>
          <w:sz w:val="22"/>
          <w:szCs w:val="22"/>
          <w:lang w:val="en-US"/>
        </w:rPr>
        <w:t>using</w:t>
      </w:r>
      <w:r w:rsidR="005F6437" w:rsidRPr="007145DC">
        <w:rPr>
          <w:rFonts w:ascii="Arial" w:hAnsi="Arial" w:cs="Arial"/>
          <w:sz w:val="22"/>
          <w:szCs w:val="22"/>
          <w:lang w:val="en-US"/>
        </w:rPr>
        <w:t xml:space="preserve"> for example,</w:t>
      </w:r>
      <w:r w:rsidRPr="007145DC">
        <w:rPr>
          <w:rFonts w:ascii="Arial" w:hAnsi="Arial" w:cs="Arial"/>
          <w:sz w:val="22"/>
          <w:szCs w:val="22"/>
          <w:lang w:val="en-US"/>
        </w:rPr>
        <w:t xml:space="preserve"> UE side internal conditions, environmental factors and other related factors. With the help of </w:t>
      </w:r>
      <w:r w:rsidR="004101D3" w:rsidRPr="0092778B">
        <w:rPr>
          <w:rFonts w:ascii="Arial" w:hAnsi="Arial" w:cs="Arial"/>
          <w:sz w:val="22"/>
          <w:szCs w:val="22"/>
        </w:rPr>
        <w:t>StabilityIndex</w:t>
      </w:r>
      <w:r w:rsidRPr="007145DC">
        <w:rPr>
          <w:rFonts w:ascii="Arial" w:hAnsi="Arial" w:cs="Arial"/>
          <w:b/>
          <w:bCs/>
          <w:sz w:val="22"/>
          <w:szCs w:val="22"/>
          <w:lang w:val="en-US"/>
        </w:rPr>
        <w:t>,</w:t>
      </w:r>
      <w:r w:rsidRPr="007145DC">
        <w:rPr>
          <w:rFonts w:ascii="Arial" w:hAnsi="Arial" w:cs="Arial"/>
          <w:sz w:val="22"/>
          <w:szCs w:val="22"/>
          <w:lang w:val="en-US"/>
        </w:rPr>
        <w:t xml:space="preserve"> the UE determines probability (estimation) of how long a functionality maybe ‘applicable’ (ready to be activated) if not activated and how long it can stay activated once it is activated.</w:t>
      </w:r>
    </w:p>
    <w:p w14:paraId="3D1E877E" w14:textId="63C4059A" w:rsidR="00173D83" w:rsidRDefault="00173D83" w:rsidP="00AD4D68">
      <w:pPr>
        <w:pStyle w:val="NormalWeb"/>
        <w:jc w:val="both"/>
        <w:rPr>
          <w:rFonts w:ascii="Arial" w:hAnsi="Arial" w:cs="Arial"/>
          <w:sz w:val="22"/>
          <w:szCs w:val="22"/>
        </w:rPr>
      </w:pPr>
      <w:r w:rsidRPr="00173D83">
        <w:rPr>
          <w:rFonts w:ascii="Arial" w:hAnsi="Arial" w:cs="Arial"/>
          <w:sz w:val="22"/>
          <w:szCs w:val="22"/>
        </w:rPr>
        <w:lastRenderedPageBreak/>
        <w:t xml:space="preserve">Using an </w:t>
      </w:r>
      <w:r w:rsidR="00980271" w:rsidRPr="0092778B">
        <w:rPr>
          <w:rFonts w:ascii="Arial" w:hAnsi="Arial" w:cs="Arial"/>
          <w:sz w:val="22"/>
          <w:szCs w:val="22"/>
        </w:rPr>
        <w:t>StabilityIndex</w:t>
      </w:r>
      <w:r w:rsidRPr="00173D83">
        <w:rPr>
          <w:rFonts w:ascii="Arial" w:hAnsi="Arial" w:cs="Arial"/>
          <w:sz w:val="22"/>
          <w:szCs w:val="22"/>
        </w:rPr>
        <w:t>, the UE may evaluate and report to the network an estimate of the expected duration or probability with which a given functionality is anticipated to remain applicable, based on current UE conditions and operational context.</w:t>
      </w:r>
    </w:p>
    <w:p w14:paraId="212AE87D" w14:textId="2BC0DFBD" w:rsidR="00980271" w:rsidRPr="00980271" w:rsidRDefault="00980271" w:rsidP="00AD4D68">
      <w:pPr>
        <w:pStyle w:val="NormalWeb"/>
        <w:jc w:val="both"/>
        <w:rPr>
          <w:rFonts w:ascii="Arial" w:hAnsi="Arial" w:cs="Arial"/>
          <w:sz w:val="22"/>
          <w:szCs w:val="22"/>
        </w:rPr>
      </w:pPr>
      <w:r w:rsidRPr="00980271">
        <w:rPr>
          <w:rFonts w:ascii="Arial" w:hAnsi="Arial" w:cs="Arial"/>
          <w:sz w:val="22"/>
          <w:szCs w:val="22"/>
        </w:rPr>
        <w:t xml:space="preserve">The </w:t>
      </w:r>
      <w:r w:rsidRPr="00337030">
        <w:rPr>
          <w:rFonts w:ascii="Arial" w:hAnsi="Arial" w:cs="Arial"/>
          <w:sz w:val="22"/>
          <w:szCs w:val="22"/>
        </w:rPr>
        <w:t>StabilityIndex</w:t>
      </w:r>
      <w:r w:rsidRPr="00980271">
        <w:rPr>
          <w:rFonts w:ascii="Arial" w:hAnsi="Arial" w:cs="Arial"/>
          <w:sz w:val="22"/>
          <w:szCs w:val="22"/>
        </w:rPr>
        <w:t xml:space="preserve">, along with parameters such as </w:t>
      </w:r>
      <w:r w:rsidRPr="00337030">
        <w:rPr>
          <w:rFonts w:ascii="Arial" w:hAnsi="Arial" w:cs="Arial"/>
          <w:sz w:val="22"/>
          <w:szCs w:val="22"/>
        </w:rPr>
        <w:t>Estimated Applicability Duration</w:t>
      </w:r>
      <w:r w:rsidRPr="00980271">
        <w:rPr>
          <w:rFonts w:ascii="Arial" w:hAnsi="Arial" w:cs="Arial"/>
          <w:sz w:val="22"/>
          <w:szCs w:val="22"/>
        </w:rPr>
        <w:t xml:space="preserve"> and </w:t>
      </w:r>
      <w:r w:rsidRPr="00337030">
        <w:rPr>
          <w:rFonts w:ascii="Arial" w:hAnsi="Arial" w:cs="Arial"/>
          <w:sz w:val="22"/>
          <w:szCs w:val="22"/>
        </w:rPr>
        <w:t>Applicability Probability</w:t>
      </w:r>
      <w:r w:rsidRPr="00980271">
        <w:rPr>
          <w:rFonts w:ascii="Arial" w:hAnsi="Arial" w:cs="Arial"/>
          <w:sz w:val="22"/>
          <w:szCs w:val="22"/>
        </w:rPr>
        <w:t>, may be included in the UAI message or embedded within RRC message.</w:t>
      </w:r>
    </w:p>
    <w:p w14:paraId="746BF6D9" w14:textId="0A865CE0" w:rsidR="00AD4D68" w:rsidRPr="007145DC" w:rsidRDefault="00AD4D68" w:rsidP="00AD4D68">
      <w:pPr>
        <w:pStyle w:val="NormalWeb"/>
        <w:jc w:val="both"/>
        <w:rPr>
          <w:rFonts w:ascii="Arial" w:hAnsi="Arial" w:cs="Arial"/>
          <w:sz w:val="22"/>
          <w:szCs w:val="22"/>
        </w:rPr>
      </w:pPr>
      <w:r w:rsidRPr="007145DC">
        <w:rPr>
          <w:rFonts w:ascii="Arial" w:hAnsi="Arial" w:cs="Arial"/>
          <w:sz w:val="22"/>
          <w:szCs w:val="22"/>
        </w:rPr>
        <w:t xml:space="preserve">With this information, the network can make a more informed decision, balancing </w:t>
      </w:r>
      <w:r w:rsidR="00A47397" w:rsidRPr="007145DC">
        <w:rPr>
          <w:rFonts w:ascii="Arial" w:hAnsi="Arial" w:cs="Arial"/>
          <w:sz w:val="22"/>
          <w:szCs w:val="22"/>
        </w:rPr>
        <w:t>signalling</w:t>
      </w:r>
      <w:r w:rsidRPr="007145DC">
        <w:rPr>
          <w:rFonts w:ascii="Arial" w:hAnsi="Arial" w:cs="Arial"/>
          <w:sz w:val="22"/>
          <w:szCs w:val="22"/>
        </w:rPr>
        <w:t>/resource overhead and system performance guarantees. If the functionality’s applicability is expected to remain stable for a relatively long period, fewer resources would be needed for monitoring. On the other hand, if the applicability is uncertain or expected to change quickly, the network may decide not to activate the functionality or may choose to activate it with additional resources dedicated to performance monitoring.</w:t>
      </w:r>
    </w:p>
    <w:p w14:paraId="2E523C93" w14:textId="126D9B91" w:rsidR="006316A6" w:rsidRPr="007145DC" w:rsidRDefault="00AD4D68" w:rsidP="004E1556">
      <w:pPr>
        <w:pStyle w:val="NormalWeb"/>
        <w:jc w:val="both"/>
        <w:rPr>
          <w:rFonts w:ascii="Arial" w:hAnsi="Arial" w:cs="Arial"/>
          <w:sz w:val="22"/>
          <w:szCs w:val="22"/>
        </w:rPr>
      </w:pPr>
      <w:r w:rsidRPr="007145DC">
        <w:rPr>
          <w:rFonts w:ascii="Arial" w:hAnsi="Arial" w:cs="Arial"/>
          <w:sz w:val="22"/>
          <w:szCs w:val="22"/>
        </w:rPr>
        <w:t xml:space="preserve">By incorporating </w:t>
      </w:r>
      <w:r w:rsidR="00A87762" w:rsidRPr="007145DC">
        <w:rPr>
          <w:rFonts w:ascii="Arial" w:hAnsi="Arial" w:cs="Arial"/>
          <w:sz w:val="22"/>
          <w:szCs w:val="22"/>
        </w:rPr>
        <w:t xml:space="preserve">the </w:t>
      </w:r>
      <w:r w:rsidR="004101D3" w:rsidRPr="0092778B">
        <w:rPr>
          <w:rFonts w:ascii="Arial" w:hAnsi="Arial" w:cs="Arial"/>
          <w:sz w:val="22"/>
          <w:szCs w:val="22"/>
        </w:rPr>
        <w:t>StabilityIndex</w:t>
      </w:r>
      <w:r w:rsidRPr="007145DC">
        <w:rPr>
          <w:rFonts w:ascii="Arial" w:hAnsi="Arial" w:cs="Arial"/>
          <w:sz w:val="22"/>
          <w:szCs w:val="22"/>
        </w:rPr>
        <w:t xml:space="preserve">, the network can optimize functionality management, reduce unnecessary </w:t>
      </w:r>
      <w:r w:rsidR="008A2D56" w:rsidRPr="007145DC">
        <w:rPr>
          <w:rFonts w:ascii="Arial" w:hAnsi="Arial" w:cs="Arial"/>
          <w:sz w:val="22"/>
          <w:szCs w:val="22"/>
        </w:rPr>
        <w:t>signalling</w:t>
      </w:r>
      <w:r w:rsidRPr="007145DC">
        <w:rPr>
          <w:rFonts w:ascii="Arial" w:hAnsi="Arial" w:cs="Arial"/>
          <w:sz w:val="22"/>
          <w:szCs w:val="22"/>
        </w:rPr>
        <w:t>, and improve the overall performance of the system.</w:t>
      </w:r>
    </w:p>
    <w:p w14:paraId="0F5EB527" w14:textId="5945BCE7" w:rsidR="006316A6" w:rsidRPr="007145DC" w:rsidRDefault="006316A6" w:rsidP="006316A6">
      <w:pPr>
        <w:pStyle w:val="NormalWeb"/>
        <w:jc w:val="both"/>
        <w:rPr>
          <w:rFonts w:ascii="Arial" w:hAnsi="Arial" w:cs="Arial"/>
          <w:b/>
          <w:bCs/>
          <w:sz w:val="22"/>
          <w:szCs w:val="22"/>
        </w:rPr>
      </w:pPr>
      <w:r w:rsidRPr="007145DC">
        <w:rPr>
          <w:rFonts w:ascii="Arial" w:hAnsi="Arial" w:cs="Arial"/>
          <w:b/>
          <w:bCs/>
          <w:sz w:val="22"/>
          <w:szCs w:val="22"/>
        </w:rPr>
        <w:t xml:space="preserve">Observation </w:t>
      </w:r>
      <w:r w:rsidR="00E4268B" w:rsidRPr="007145DC">
        <w:rPr>
          <w:rFonts w:ascii="Arial" w:hAnsi="Arial" w:cs="Arial"/>
          <w:b/>
          <w:bCs/>
          <w:sz w:val="22"/>
          <w:szCs w:val="22"/>
        </w:rPr>
        <w:t xml:space="preserve">3: </w:t>
      </w:r>
      <w:r w:rsidRPr="007145DC">
        <w:rPr>
          <w:rFonts w:ascii="Arial" w:hAnsi="Arial" w:cs="Arial"/>
          <w:b/>
          <w:bCs/>
          <w:sz w:val="22"/>
          <w:szCs w:val="22"/>
        </w:rPr>
        <w:t xml:space="preserve">Frequent functionality applicability changes or updates could negatively affect </w:t>
      </w:r>
      <w:r w:rsidR="008A2D56" w:rsidRPr="007145DC">
        <w:rPr>
          <w:rFonts w:ascii="Arial" w:hAnsi="Arial" w:cs="Arial"/>
          <w:b/>
          <w:bCs/>
          <w:sz w:val="22"/>
          <w:szCs w:val="22"/>
        </w:rPr>
        <w:t>signalling</w:t>
      </w:r>
      <w:r w:rsidRPr="007145DC">
        <w:rPr>
          <w:rFonts w:ascii="Arial" w:hAnsi="Arial" w:cs="Arial"/>
          <w:b/>
          <w:bCs/>
          <w:sz w:val="22"/>
          <w:szCs w:val="22"/>
        </w:rPr>
        <w:t xml:space="preserve"> overhead, system performance, and the network’s ability to manage AIML functionality effectively.</w:t>
      </w:r>
    </w:p>
    <w:p w14:paraId="5409606B" w14:textId="636CD357" w:rsidR="00E4268B" w:rsidRPr="007145DC" w:rsidRDefault="006316A6" w:rsidP="006316A6">
      <w:pPr>
        <w:pStyle w:val="NormalWeb"/>
        <w:jc w:val="both"/>
        <w:rPr>
          <w:rFonts w:ascii="Arial" w:hAnsi="Arial" w:cs="Arial"/>
          <w:b/>
          <w:bCs/>
          <w:sz w:val="22"/>
          <w:szCs w:val="22"/>
        </w:rPr>
      </w:pPr>
      <w:r w:rsidRPr="007145DC">
        <w:rPr>
          <w:rFonts w:ascii="Arial" w:hAnsi="Arial" w:cs="Arial"/>
          <w:b/>
          <w:bCs/>
          <w:sz w:val="22"/>
          <w:szCs w:val="22"/>
        </w:rPr>
        <w:t xml:space="preserve">Proposal </w:t>
      </w:r>
      <w:r w:rsidR="008A2D56">
        <w:rPr>
          <w:rFonts w:ascii="Arial" w:hAnsi="Arial" w:cs="Arial"/>
          <w:b/>
          <w:bCs/>
          <w:sz w:val="22"/>
          <w:szCs w:val="22"/>
        </w:rPr>
        <w:t>4</w:t>
      </w:r>
      <w:r w:rsidR="00E4268B" w:rsidRPr="007145DC">
        <w:rPr>
          <w:rFonts w:ascii="Arial" w:hAnsi="Arial" w:cs="Arial"/>
          <w:b/>
          <w:bCs/>
          <w:sz w:val="22"/>
          <w:szCs w:val="22"/>
        </w:rPr>
        <w:t xml:space="preserve">: </w:t>
      </w:r>
      <w:r w:rsidRPr="007145DC">
        <w:rPr>
          <w:rFonts w:ascii="Arial" w:hAnsi="Arial" w:cs="Arial"/>
          <w:b/>
          <w:bCs/>
          <w:sz w:val="22"/>
          <w:szCs w:val="22"/>
        </w:rPr>
        <w:t xml:space="preserve">RAN2 should explore methods to minimize the necessity for frequent applicability status updates </w:t>
      </w:r>
      <w:r w:rsidR="00D642C5" w:rsidRPr="007145DC">
        <w:rPr>
          <w:rFonts w:ascii="Arial" w:hAnsi="Arial" w:cs="Arial"/>
          <w:b/>
          <w:bCs/>
          <w:sz w:val="22"/>
          <w:szCs w:val="22"/>
        </w:rPr>
        <w:t>facilitating the</w:t>
      </w:r>
      <w:r w:rsidRPr="007145DC">
        <w:rPr>
          <w:rFonts w:ascii="Arial" w:hAnsi="Arial" w:cs="Arial"/>
          <w:b/>
          <w:bCs/>
          <w:sz w:val="22"/>
          <w:szCs w:val="22"/>
        </w:rPr>
        <w:t xml:space="preserve"> stability of inference operation once activated. </w:t>
      </w:r>
    </w:p>
    <w:p w14:paraId="366558F4" w14:textId="0D25E679" w:rsidR="00DE49E3" w:rsidRPr="00DE49E3" w:rsidRDefault="00E4268B" w:rsidP="00DE49E3">
      <w:pPr>
        <w:pStyle w:val="NormalWeb"/>
        <w:jc w:val="both"/>
        <w:rPr>
          <w:rFonts w:ascii="Arial" w:hAnsi="Arial" w:cs="Arial"/>
          <w:b/>
          <w:bCs/>
          <w:sz w:val="22"/>
          <w:szCs w:val="22"/>
        </w:rPr>
      </w:pPr>
      <w:r w:rsidRPr="007145DC">
        <w:rPr>
          <w:rFonts w:ascii="Arial" w:hAnsi="Arial" w:cs="Arial"/>
          <w:b/>
          <w:bCs/>
          <w:sz w:val="22"/>
          <w:szCs w:val="22"/>
        </w:rPr>
        <w:t xml:space="preserve">Proposal </w:t>
      </w:r>
      <w:r w:rsidR="008A2D56">
        <w:rPr>
          <w:rFonts w:ascii="Arial" w:hAnsi="Arial" w:cs="Arial"/>
          <w:b/>
          <w:bCs/>
          <w:sz w:val="22"/>
          <w:szCs w:val="22"/>
        </w:rPr>
        <w:t>5</w:t>
      </w:r>
      <w:r w:rsidRPr="007145DC">
        <w:rPr>
          <w:rFonts w:ascii="Arial" w:hAnsi="Arial" w:cs="Arial"/>
          <w:b/>
          <w:bCs/>
          <w:sz w:val="22"/>
          <w:szCs w:val="22"/>
        </w:rPr>
        <w:t>: T</w:t>
      </w:r>
      <w:r w:rsidR="006316A6" w:rsidRPr="007145DC">
        <w:rPr>
          <w:rFonts w:ascii="Arial" w:hAnsi="Arial" w:cs="Arial"/>
          <w:b/>
          <w:bCs/>
          <w:sz w:val="22"/>
          <w:szCs w:val="22"/>
        </w:rPr>
        <w:t xml:space="preserve">he UE could provide a </w:t>
      </w:r>
      <w:r w:rsidR="006316A6" w:rsidRPr="004101D3">
        <w:rPr>
          <w:rFonts w:ascii="Arial" w:hAnsi="Arial" w:cs="Arial"/>
          <w:b/>
          <w:bCs/>
          <w:sz w:val="22"/>
          <w:szCs w:val="22"/>
        </w:rPr>
        <w:t>“</w:t>
      </w:r>
      <w:r w:rsidR="004101D3" w:rsidRPr="00337030">
        <w:rPr>
          <w:rFonts w:ascii="Arial" w:hAnsi="Arial" w:cs="Arial"/>
          <w:b/>
          <w:bCs/>
          <w:sz w:val="22"/>
          <w:szCs w:val="22"/>
        </w:rPr>
        <w:t>StabilityIndex</w:t>
      </w:r>
      <w:r w:rsidR="006316A6" w:rsidRPr="004101D3">
        <w:rPr>
          <w:rFonts w:ascii="Arial" w:hAnsi="Arial" w:cs="Arial"/>
          <w:b/>
          <w:bCs/>
          <w:sz w:val="22"/>
          <w:szCs w:val="22"/>
        </w:rPr>
        <w:t>”</w:t>
      </w:r>
      <w:r w:rsidR="006316A6" w:rsidRPr="007145DC">
        <w:rPr>
          <w:rFonts w:ascii="Arial" w:hAnsi="Arial" w:cs="Arial"/>
          <w:b/>
          <w:bCs/>
          <w:sz w:val="22"/>
          <w:szCs w:val="22"/>
        </w:rPr>
        <w:t xml:space="preserve"> </w:t>
      </w:r>
      <w:r w:rsidR="009D69B5">
        <w:rPr>
          <w:rFonts w:ascii="Arial" w:hAnsi="Arial" w:cs="Arial"/>
          <w:b/>
          <w:bCs/>
          <w:sz w:val="22"/>
          <w:szCs w:val="22"/>
        </w:rPr>
        <w:t xml:space="preserve">metric or </w:t>
      </w:r>
      <w:r w:rsidR="006316A6" w:rsidRPr="007145DC">
        <w:rPr>
          <w:rFonts w:ascii="Arial" w:hAnsi="Arial" w:cs="Arial"/>
          <w:b/>
          <w:bCs/>
          <w:sz w:val="22"/>
          <w:szCs w:val="22"/>
        </w:rPr>
        <w:t xml:space="preserve">indication for each applicable functionality, </w:t>
      </w:r>
      <w:r w:rsidR="003C0C13">
        <w:rPr>
          <w:rFonts w:ascii="Arial" w:hAnsi="Arial" w:cs="Arial"/>
          <w:b/>
          <w:bCs/>
          <w:sz w:val="22"/>
          <w:szCs w:val="22"/>
        </w:rPr>
        <w:t>for e.g., in UAI or RRC message</w:t>
      </w:r>
      <w:r w:rsidR="006316A6" w:rsidRPr="007145DC">
        <w:rPr>
          <w:rFonts w:ascii="Arial" w:hAnsi="Arial" w:cs="Arial"/>
          <w:b/>
          <w:bCs/>
          <w:sz w:val="22"/>
          <w:szCs w:val="22"/>
        </w:rPr>
        <w:t xml:space="preserve">, to enhance operational consistency and reduce </w:t>
      </w:r>
      <w:r w:rsidR="00C725F3" w:rsidRPr="007145DC">
        <w:rPr>
          <w:rFonts w:ascii="Arial" w:hAnsi="Arial" w:cs="Arial"/>
          <w:b/>
          <w:bCs/>
          <w:sz w:val="22"/>
          <w:szCs w:val="22"/>
        </w:rPr>
        <w:t>signalling</w:t>
      </w:r>
      <w:r w:rsidR="006316A6" w:rsidRPr="007145DC">
        <w:rPr>
          <w:rFonts w:ascii="Arial" w:hAnsi="Arial" w:cs="Arial"/>
          <w:b/>
          <w:bCs/>
          <w:sz w:val="22"/>
          <w:szCs w:val="22"/>
        </w:rPr>
        <w:t xml:space="preserve"> </w:t>
      </w:r>
      <w:r w:rsidR="003C0C13">
        <w:rPr>
          <w:rFonts w:ascii="Arial" w:hAnsi="Arial" w:cs="Arial"/>
          <w:b/>
          <w:bCs/>
          <w:sz w:val="22"/>
          <w:szCs w:val="22"/>
        </w:rPr>
        <w:t>overhead</w:t>
      </w:r>
      <w:r w:rsidR="006316A6" w:rsidRPr="007145DC">
        <w:rPr>
          <w:rFonts w:ascii="Arial" w:hAnsi="Arial" w:cs="Arial"/>
          <w:b/>
          <w:bCs/>
          <w:sz w:val="22"/>
          <w:szCs w:val="22"/>
        </w:rPr>
        <w:t>.</w:t>
      </w:r>
    </w:p>
    <w:p w14:paraId="50FFE5D7" w14:textId="77777777" w:rsidR="001B500F" w:rsidRPr="00133B97" w:rsidRDefault="00977D18" w:rsidP="00893B96">
      <w:pPr>
        <w:pStyle w:val="Heading1"/>
        <w:jc w:val="left"/>
        <w:rPr>
          <w:rFonts w:cs="Arial"/>
          <w:b/>
          <w:bCs/>
          <w:sz w:val="28"/>
          <w:szCs w:val="28"/>
        </w:rPr>
      </w:pPr>
      <w:r w:rsidRPr="00133B97">
        <w:rPr>
          <w:rFonts w:cs="Arial"/>
          <w:b/>
          <w:bCs/>
          <w:sz w:val="28"/>
          <w:szCs w:val="28"/>
        </w:rPr>
        <w:t>Conclusions</w:t>
      </w:r>
    </w:p>
    <w:p w14:paraId="1AF0AA37" w14:textId="3B8628CD" w:rsidR="00F24B38" w:rsidRDefault="009A1ED9" w:rsidP="00F04B07">
      <w:pPr>
        <w:spacing w:afterLines="50" w:line="240" w:lineRule="auto"/>
        <w:jc w:val="left"/>
        <w:rPr>
          <w:rFonts w:ascii="Arial" w:hAnsi="Arial" w:cs="Arial"/>
        </w:rPr>
      </w:pPr>
      <w:r w:rsidRPr="00133B97">
        <w:rPr>
          <w:rFonts w:ascii="Arial" w:hAnsi="Arial" w:cs="Arial"/>
        </w:rPr>
        <w:t xml:space="preserve">Based on the </w:t>
      </w:r>
      <w:r w:rsidR="005963E4" w:rsidRPr="00133B97">
        <w:rPr>
          <w:rFonts w:ascii="Arial" w:hAnsi="Arial" w:cs="Arial"/>
        </w:rPr>
        <w:t>discussion</w:t>
      </w:r>
      <w:r w:rsidRPr="00133B97">
        <w:rPr>
          <w:rFonts w:ascii="Arial" w:hAnsi="Arial" w:cs="Arial"/>
        </w:rPr>
        <w:t xml:space="preserve"> above, </w:t>
      </w:r>
      <w:r w:rsidR="00F04B07" w:rsidRPr="00133B97">
        <w:rPr>
          <w:rFonts w:ascii="Arial" w:hAnsi="Arial" w:cs="Arial"/>
        </w:rPr>
        <w:t>we have the following</w:t>
      </w:r>
      <w:r w:rsidR="0021743C">
        <w:rPr>
          <w:rFonts w:ascii="Arial" w:hAnsi="Arial" w:cs="Arial"/>
        </w:rPr>
        <w:t xml:space="preserve"> observations and</w:t>
      </w:r>
      <w:r w:rsidR="00F04B07" w:rsidRPr="00133B97">
        <w:rPr>
          <w:rFonts w:ascii="Arial" w:hAnsi="Arial" w:cs="Arial"/>
        </w:rPr>
        <w:t xml:space="preserve"> </w:t>
      </w:r>
      <w:r w:rsidR="006644AA" w:rsidRPr="00133B97">
        <w:rPr>
          <w:rFonts w:ascii="Arial" w:hAnsi="Arial" w:cs="Arial"/>
        </w:rPr>
        <w:t>p</w:t>
      </w:r>
      <w:r w:rsidR="00F04B07" w:rsidRPr="00133B97">
        <w:rPr>
          <w:rFonts w:ascii="Arial" w:hAnsi="Arial" w:cs="Arial"/>
        </w:rPr>
        <w:t>roposals</w:t>
      </w:r>
      <w:r w:rsidR="00936A48" w:rsidRPr="00133B97">
        <w:rPr>
          <w:rFonts w:ascii="Arial" w:hAnsi="Arial" w:cs="Arial"/>
        </w:rPr>
        <w:t>:</w:t>
      </w:r>
    </w:p>
    <w:p w14:paraId="6AD306ED" w14:textId="266F8695" w:rsidR="008861E0" w:rsidRDefault="008861E0" w:rsidP="008861E0">
      <w:pPr>
        <w:rPr>
          <w:rFonts w:ascii="Arial" w:hAnsi="Arial" w:cs="Arial"/>
          <w:b/>
          <w:bCs/>
        </w:rPr>
      </w:pPr>
      <w:r w:rsidRPr="0092778B">
        <w:rPr>
          <w:rFonts w:ascii="Arial" w:hAnsi="Arial" w:cs="Arial"/>
          <w:b/>
          <w:bCs/>
        </w:rPr>
        <w:t>Observation 1: If the UE reports a periodic CSI report configuration (i.e., a full inference configuration provided in CSI-</w:t>
      </w:r>
      <w:r w:rsidRPr="00337030">
        <w:rPr>
          <w:rFonts w:ascii="Arial" w:hAnsi="Arial" w:cs="Arial"/>
          <w:b/>
          <w:bCs/>
          <w:i/>
          <w:iCs/>
        </w:rPr>
        <w:t>ReportConfig.</w:t>
      </w:r>
      <w:r w:rsidRPr="0092778B">
        <w:rPr>
          <w:rFonts w:ascii="Arial" w:hAnsi="Arial" w:cs="Arial"/>
          <w:b/>
          <w:bCs/>
        </w:rPr>
        <w:t>) as non-applicable, the UE is still required to retain all received full inference configurations—regardless of their applicability status—until they are explicitly released by the network via RRC signalling</w:t>
      </w:r>
      <w:r>
        <w:rPr>
          <w:rFonts w:ascii="Arial" w:hAnsi="Arial" w:cs="Arial"/>
          <w:b/>
          <w:bCs/>
        </w:rPr>
        <w:t>.</w:t>
      </w:r>
    </w:p>
    <w:p w14:paraId="1BC6FF08" w14:textId="77777777" w:rsidR="008861E0" w:rsidRDefault="008861E0" w:rsidP="008861E0">
      <w:pPr>
        <w:pStyle w:val="NormalWeb"/>
        <w:jc w:val="both"/>
        <w:rPr>
          <w:rFonts w:ascii="Arial" w:hAnsi="Arial" w:cs="Arial"/>
          <w:b/>
          <w:bCs/>
          <w:sz w:val="22"/>
          <w:szCs w:val="22"/>
        </w:rPr>
      </w:pPr>
      <w:r w:rsidRPr="007145DC">
        <w:rPr>
          <w:rFonts w:ascii="Arial" w:hAnsi="Arial" w:cs="Arial"/>
          <w:b/>
          <w:bCs/>
          <w:sz w:val="22"/>
          <w:szCs w:val="22"/>
        </w:rPr>
        <w:t>Observation 2: Applicable functionalities are dynamic in nature and may fluctuate due to variations in the UE's environment, network-side additional conditions, UE-side additional conditions, or the availability of the AI/ML model.</w:t>
      </w:r>
    </w:p>
    <w:p w14:paraId="06429A56" w14:textId="15D2235E" w:rsidR="008861E0" w:rsidRDefault="008861E0" w:rsidP="008861E0">
      <w:pPr>
        <w:pStyle w:val="NormalWeb"/>
        <w:jc w:val="both"/>
        <w:rPr>
          <w:rFonts w:ascii="Arial" w:hAnsi="Arial" w:cs="Arial"/>
          <w:b/>
          <w:bCs/>
          <w:sz w:val="22"/>
          <w:szCs w:val="22"/>
        </w:rPr>
      </w:pPr>
      <w:r w:rsidRPr="007145DC">
        <w:rPr>
          <w:rFonts w:ascii="Arial" w:hAnsi="Arial" w:cs="Arial"/>
          <w:b/>
          <w:bCs/>
          <w:sz w:val="22"/>
          <w:szCs w:val="22"/>
        </w:rPr>
        <w:t>Observation 3: Frequent functionality applicability changes or updates could negatively affect signalling overhead, system performance, and the network’s ability to manage AIML functionality effectively.</w:t>
      </w:r>
    </w:p>
    <w:p w14:paraId="392CE41D" w14:textId="77777777" w:rsidR="008861E0" w:rsidRPr="00E040F4" w:rsidRDefault="008861E0" w:rsidP="00E040F4">
      <w:pPr>
        <w:pStyle w:val="NormalWeb"/>
        <w:jc w:val="both"/>
        <w:rPr>
          <w:rFonts w:ascii="Arial" w:hAnsi="Arial" w:cs="Arial"/>
          <w:b/>
          <w:bCs/>
          <w:sz w:val="22"/>
          <w:szCs w:val="22"/>
        </w:rPr>
      </w:pPr>
    </w:p>
    <w:p w14:paraId="647B33BE" w14:textId="77777777" w:rsidR="008861E0" w:rsidRPr="00D32DDA" w:rsidRDefault="008861E0" w:rsidP="008861E0">
      <w:pPr>
        <w:rPr>
          <w:rFonts w:ascii="Arial" w:hAnsi="Arial" w:cs="Arial"/>
          <w:b/>
          <w:bCs/>
        </w:rPr>
      </w:pPr>
      <w:r w:rsidRPr="00272F46">
        <w:rPr>
          <w:rFonts w:ascii="Arial" w:hAnsi="Arial" w:cs="Arial"/>
          <w:b/>
          <w:bCs/>
        </w:rPr>
        <w:t xml:space="preserve">Proposal </w:t>
      </w:r>
      <w:r>
        <w:rPr>
          <w:rFonts w:ascii="Arial" w:hAnsi="Arial" w:cs="Arial"/>
          <w:b/>
          <w:bCs/>
        </w:rPr>
        <w:t>1</w:t>
      </w:r>
      <w:r w:rsidRPr="00272F46">
        <w:rPr>
          <w:rFonts w:ascii="Arial" w:hAnsi="Arial" w:cs="Arial"/>
          <w:b/>
          <w:bCs/>
        </w:rPr>
        <w:t xml:space="preserve">: </w:t>
      </w:r>
      <w:r>
        <w:rPr>
          <w:rFonts w:ascii="Arial" w:hAnsi="Arial" w:cs="Arial"/>
          <w:b/>
          <w:bCs/>
        </w:rPr>
        <w:t>W</w:t>
      </w:r>
      <w:r w:rsidRPr="00272F46">
        <w:rPr>
          <w:rFonts w:ascii="Arial" w:hAnsi="Arial" w:cs="Arial"/>
          <w:b/>
          <w:bCs/>
        </w:rPr>
        <w:t xml:space="preserve">hen an applicable periodic </w:t>
      </w:r>
      <w:r>
        <w:rPr>
          <w:rFonts w:ascii="Arial" w:hAnsi="Arial" w:cs="Arial"/>
          <w:b/>
          <w:bCs/>
        </w:rPr>
        <w:t>configuration/functionality (CSI-</w:t>
      </w:r>
      <w:r w:rsidRPr="00337030">
        <w:rPr>
          <w:rFonts w:ascii="Arial" w:hAnsi="Arial" w:cs="Arial"/>
          <w:b/>
          <w:bCs/>
          <w:i/>
          <w:iCs/>
        </w:rPr>
        <w:t>ReportConfig.</w:t>
      </w:r>
      <w:r>
        <w:rPr>
          <w:rFonts w:ascii="Arial" w:hAnsi="Arial" w:cs="Arial"/>
          <w:b/>
          <w:bCs/>
        </w:rPr>
        <w:t>)</w:t>
      </w:r>
      <w:r w:rsidRPr="00272F46">
        <w:rPr>
          <w:rFonts w:ascii="Arial" w:hAnsi="Arial" w:cs="Arial"/>
          <w:b/>
          <w:bCs/>
        </w:rPr>
        <w:t xml:space="preserve"> becomes inapplicable</w:t>
      </w:r>
      <w:r>
        <w:rPr>
          <w:rFonts w:ascii="Arial" w:hAnsi="Arial" w:cs="Arial"/>
          <w:b/>
          <w:bCs/>
        </w:rPr>
        <w:t xml:space="preserve"> in the UE may autonomously de-activate it and report it to the network.</w:t>
      </w:r>
    </w:p>
    <w:p w14:paraId="62727597" w14:textId="30DD46EF" w:rsidR="008861E0" w:rsidRPr="00337030" w:rsidRDefault="008861E0" w:rsidP="008861E0">
      <w:pPr>
        <w:rPr>
          <w:rFonts w:ascii="Arial" w:hAnsi="Arial" w:cs="Arial"/>
          <w:b/>
          <w:bCs/>
        </w:rPr>
      </w:pPr>
      <w:r w:rsidRPr="00133B97">
        <w:rPr>
          <w:rFonts w:ascii="Arial" w:hAnsi="Arial" w:cs="Arial"/>
          <w:b/>
          <w:bCs/>
          <w:lang w:val="en-US"/>
        </w:rPr>
        <w:t xml:space="preserve">Proposal </w:t>
      </w:r>
      <w:r>
        <w:rPr>
          <w:rFonts w:ascii="Arial" w:hAnsi="Arial" w:cs="Arial"/>
          <w:b/>
          <w:bCs/>
          <w:lang w:val="en-US"/>
        </w:rPr>
        <w:t>2</w:t>
      </w:r>
      <w:r w:rsidRPr="00133B97">
        <w:rPr>
          <w:rFonts w:ascii="Arial" w:hAnsi="Arial" w:cs="Arial"/>
          <w:b/>
          <w:bCs/>
          <w:lang w:val="en-US"/>
        </w:rPr>
        <w:t xml:space="preserve">: The network may provide a default or preferred configuration in functionality configuration for e.g., </w:t>
      </w:r>
      <w:r>
        <w:rPr>
          <w:rFonts w:ascii="Arial" w:hAnsi="Arial" w:cs="Arial"/>
          <w:b/>
          <w:bCs/>
          <w:lang w:val="en-US"/>
        </w:rPr>
        <w:t xml:space="preserve">a default or preferred </w:t>
      </w:r>
      <w:r w:rsidRPr="00D37902">
        <w:rPr>
          <w:rFonts w:ascii="Arial" w:hAnsi="Arial" w:cs="Arial"/>
          <w:b/>
          <w:bCs/>
          <w:lang w:val="en-US"/>
        </w:rPr>
        <w:t>CSI-</w:t>
      </w:r>
      <w:r w:rsidRPr="00AE694F">
        <w:rPr>
          <w:rFonts w:ascii="Arial" w:hAnsi="Arial" w:cs="Arial"/>
          <w:b/>
          <w:bCs/>
          <w:i/>
          <w:iCs/>
          <w:lang w:val="en-US"/>
        </w:rPr>
        <w:t>ReportConfig</w:t>
      </w:r>
      <w:r>
        <w:rPr>
          <w:rFonts w:ascii="Arial" w:hAnsi="Arial" w:cs="Arial"/>
          <w:b/>
          <w:bCs/>
          <w:i/>
          <w:iCs/>
          <w:lang w:val="en-US"/>
        </w:rPr>
        <w:t>.</w:t>
      </w:r>
      <w:r>
        <w:rPr>
          <w:rFonts w:ascii="Arial" w:hAnsi="Arial" w:cs="Arial"/>
          <w:b/>
          <w:bCs/>
          <w:lang w:val="en-US"/>
        </w:rPr>
        <w:t xml:space="preserve"> either in step 3 or 5 respectively.</w:t>
      </w:r>
    </w:p>
    <w:p w14:paraId="036A5241" w14:textId="32D92589" w:rsidR="008861E0" w:rsidRDefault="008861E0" w:rsidP="008861E0">
      <w:pPr>
        <w:rPr>
          <w:rFonts w:ascii="Arial" w:hAnsi="Arial" w:cs="Arial"/>
          <w:b/>
          <w:bCs/>
        </w:rPr>
      </w:pPr>
      <w:r w:rsidRPr="00337030">
        <w:rPr>
          <w:rFonts w:ascii="Arial" w:hAnsi="Arial" w:cs="Arial"/>
          <w:b/>
          <w:bCs/>
        </w:rPr>
        <w:lastRenderedPageBreak/>
        <w:t>Proposal 3:</w:t>
      </w:r>
      <w:r>
        <w:rPr>
          <w:rFonts w:ascii="Arial" w:hAnsi="Arial" w:cs="Arial"/>
          <w:b/>
          <w:bCs/>
        </w:rPr>
        <w:t xml:space="preserve"> </w:t>
      </w:r>
      <w:r w:rsidRPr="00337030">
        <w:rPr>
          <w:rFonts w:ascii="Arial" w:hAnsi="Arial" w:cs="Arial"/>
          <w:b/>
          <w:bCs/>
        </w:rPr>
        <w:t>The UE may indicate preferred configuration (s) to the network (e.g., preferred CSI-</w:t>
      </w:r>
      <w:r w:rsidRPr="00337030">
        <w:rPr>
          <w:rFonts w:ascii="Arial" w:hAnsi="Arial" w:cs="Arial"/>
          <w:b/>
          <w:bCs/>
          <w:i/>
          <w:iCs/>
        </w:rPr>
        <w:t>ReportConfig.</w:t>
      </w:r>
      <w:r w:rsidRPr="00337030">
        <w:rPr>
          <w:rFonts w:ascii="Arial" w:hAnsi="Arial" w:cs="Arial"/>
          <w:b/>
          <w:bCs/>
        </w:rPr>
        <w:t>) in step 4.</w:t>
      </w:r>
    </w:p>
    <w:p w14:paraId="5D81D5FF" w14:textId="77777777" w:rsidR="008861E0" w:rsidRPr="007145DC" w:rsidRDefault="008861E0" w:rsidP="008861E0">
      <w:pPr>
        <w:pStyle w:val="NormalWeb"/>
        <w:jc w:val="both"/>
        <w:rPr>
          <w:rFonts w:ascii="Arial" w:hAnsi="Arial" w:cs="Arial"/>
          <w:b/>
          <w:bCs/>
          <w:sz w:val="22"/>
          <w:szCs w:val="22"/>
        </w:rPr>
      </w:pPr>
      <w:r w:rsidRPr="007145DC">
        <w:rPr>
          <w:rFonts w:ascii="Arial" w:hAnsi="Arial" w:cs="Arial"/>
          <w:b/>
          <w:bCs/>
          <w:sz w:val="22"/>
          <w:szCs w:val="22"/>
        </w:rPr>
        <w:t xml:space="preserve">Proposal </w:t>
      </w:r>
      <w:r>
        <w:rPr>
          <w:rFonts w:ascii="Arial" w:hAnsi="Arial" w:cs="Arial"/>
          <w:b/>
          <w:bCs/>
          <w:sz w:val="22"/>
          <w:szCs w:val="22"/>
        </w:rPr>
        <w:t>4</w:t>
      </w:r>
      <w:r w:rsidRPr="007145DC">
        <w:rPr>
          <w:rFonts w:ascii="Arial" w:hAnsi="Arial" w:cs="Arial"/>
          <w:b/>
          <w:bCs/>
          <w:sz w:val="22"/>
          <w:szCs w:val="22"/>
        </w:rPr>
        <w:t xml:space="preserve">: RAN2 should explore methods to minimize the necessity for frequent applicability status updates facilitating the stability of inference operation once activated. </w:t>
      </w:r>
    </w:p>
    <w:p w14:paraId="37A6C92B" w14:textId="54D228FA" w:rsidR="008861E0" w:rsidRPr="00E040F4" w:rsidRDefault="008861E0" w:rsidP="00E040F4">
      <w:pPr>
        <w:pStyle w:val="NormalWeb"/>
        <w:jc w:val="both"/>
        <w:rPr>
          <w:rFonts w:ascii="Arial" w:hAnsi="Arial" w:cs="Arial"/>
          <w:b/>
          <w:bCs/>
          <w:sz w:val="22"/>
          <w:szCs w:val="22"/>
        </w:rPr>
      </w:pPr>
      <w:r w:rsidRPr="007145DC">
        <w:rPr>
          <w:rFonts w:ascii="Arial" w:hAnsi="Arial" w:cs="Arial"/>
          <w:b/>
          <w:bCs/>
          <w:sz w:val="22"/>
          <w:szCs w:val="22"/>
        </w:rPr>
        <w:t xml:space="preserve">Proposal </w:t>
      </w:r>
      <w:r>
        <w:rPr>
          <w:rFonts w:ascii="Arial" w:hAnsi="Arial" w:cs="Arial"/>
          <w:b/>
          <w:bCs/>
          <w:sz w:val="22"/>
          <w:szCs w:val="22"/>
        </w:rPr>
        <w:t>5</w:t>
      </w:r>
      <w:r w:rsidRPr="007145DC">
        <w:rPr>
          <w:rFonts w:ascii="Arial" w:hAnsi="Arial" w:cs="Arial"/>
          <w:b/>
          <w:bCs/>
          <w:sz w:val="22"/>
          <w:szCs w:val="22"/>
        </w:rPr>
        <w:t xml:space="preserve">: The UE could provide a </w:t>
      </w:r>
      <w:r w:rsidRPr="004101D3">
        <w:rPr>
          <w:rFonts w:ascii="Arial" w:hAnsi="Arial" w:cs="Arial"/>
          <w:b/>
          <w:bCs/>
          <w:sz w:val="22"/>
          <w:szCs w:val="22"/>
        </w:rPr>
        <w:t>“</w:t>
      </w:r>
      <w:r w:rsidRPr="00337030">
        <w:rPr>
          <w:rFonts w:ascii="Arial" w:hAnsi="Arial" w:cs="Arial"/>
          <w:b/>
          <w:bCs/>
          <w:sz w:val="22"/>
          <w:szCs w:val="22"/>
        </w:rPr>
        <w:t>StabilityIndex</w:t>
      </w:r>
      <w:r w:rsidRPr="004101D3">
        <w:rPr>
          <w:rFonts w:ascii="Arial" w:hAnsi="Arial" w:cs="Arial"/>
          <w:b/>
          <w:bCs/>
          <w:sz w:val="22"/>
          <w:szCs w:val="22"/>
        </w:rPr>
        <w:t>”</w:t>
      </w:r>
      <w:r w:rsidRPr="007145DC">
        <w:rPr>
          <w:rFonts w:ascii="Arial" w:hAnsi="Arial" w:cs="Arial"/>
          <w:b/>
          <w:bCs/>
          <w:sz w:val="22"/>
          <w:szCs w:val="22"/>
        </w:rPr>
        <w:t xml:space="preserve"> </w:t>
      </w:r>
      <w:r>
        <w:rPr>
          <w:rFonts w:ascii="Arial" w:hAnsi="Arial" w:cs="Arial"/>
          <w:b/>
          <w:bCs/>
          <w:sz w:val="22"/>
          <w:szCs w:val="22"/>
        </w:rPr>
        <w:t xml:space="preserve">metric or </w:t>
      </w:r>
      <w:r w:rsidRPr="007145DC">
        <w:rPr>
          <w:rFonts w:ascii="Arial" w:hAnsi="Arial" w:cs="Arial"/>
          <w:b/>
          <w:bCs/>
          <w:sz w:val="22"/>
          <w:szCs w:val="22"/>
        </w:rPr>
        <w:t xml:space="preserve">indication for each applicable functionality, </w:t>
      </w:r>
      <w:r>
        <w:rPr>
          <w:rFonts w:ascii="Arial" w:hAnsi="Arial" w:cs="Arial"/>
          <w:b/>
          <w:bCs/>
          <w:sz w:val="22"/>
          <w:szCs w:val="22"/>
        </w:rPr>
        <w:t>for e.g., in UAI or RRC message</w:t>
      </w:r>
      <w:r w:rsidRPr="007145DC">
        <w:rPr>
          <w:rFonts w:ascii="Arial" w:hAnsi="Arial" w:cs="Arial"/>
          <w:b/>
          <w:bCs/>
          <w:sz w:val="22"/>
          <w:szCs w:val="22"/>
        </w:rPr>
        <w:t xml:space="preserve">, to enhance operational consistency and reduce signalling </w:t>
      </w:r>
      <w:r>
        <w:rPr>
          <w:rFonts w:ascii="Arial" w:hAnsi="Arial" w:cs="Arial"/>
          <w:b/>
          <w:bCs/>
          <w:sz w:val="22"/>
          <w:szCs w:val="22"/>
        </w:rPr>
        <w:t>overhead</w:t>
      </w:r>
      <w:r w:rsidRPr="007145DC">
        <w:rPr>
          <w:rFonts w:ascii="Arial" w:hAnsi="Arial" w:cs="Arial"/>
          <w:b/>
          <w:bCs/>
          <w:sz w:val="22"/>
          <w:szCs w:val="22"/>
        </w:rPr>
        <w:t>.</w:t>
      </w:r>
    </w:p>
    <w:p w14:paraId="7E43F807" w14:textId="28F4C653" w:rsidR="00DF5B8F" w:rsidRPr="00133B97" w:rsidRDefault="00487E43" w:rsidP="00893B96">
      <w:pPr>
        <w:pStyle w:val="Heading1"/>
        <w:spacing w:before="180" w:line="240" w:lineRule="auto"/>
        <w:ind w:left="0" w:firstLine="0"/>
        <w:jc w:val="left"/>
        <w:rPr>
          <w:rFonts w:cs="Arial"/>
          <w:b/>
          <w:bCs/>
          <w:sz w:val="28"/>
          <w:szCs w:val="28"/>
        </w:rPr>
      </w:pPr>
      <w:bookmarkStart w:id="4" w:name="_Toc502437832"/>
      <w:r w:rsidRPr="00133B97">
        <w:rPr>
          <w:rFonts w:cs="Arial"/>
          <w:b/>
          <w:bCs/>
          <w:sz w:val="28"/>
          <w:szCs w:val="28"/>
        </w:rPr>
        <w:t>Reference</w:t>
      </w:r>
      <w:r w:rsidR="00D50F64">
        <w:rPr>
          <w:rFonts w:cs="Arial"/>
          <w:b/>
          <w:bCs/>
          <w:sz w:val="28"/>
          <w:szCs w:val="28"/>
        </w:rPr>
        <w:t>s</w:t>
      </w:r>
    </w:p>
    <w:bookmarkEnd w:id="4"/>
    <w:p w14:paraId="02388D2C" w14:textId="6658CBAC" w:rsidR="00C17D44" w:rsidRDefault="009616EB" w:rsidP="005963E4">
      <w:pPr>
        <w:rPr>
          <w:rFonts w:ascii="Arial" w:hAnsi="Arial" w:cs="Arial"/>
          <w:sz w:val="20"/>
        </w:rPr>
      </w:pPr>
      <w:r w:rsidRPr="00BA02DF">
        <w:rPr>
          <w:rFonts w:ascii="Arial" w:hAnsi="Arial" w:cs="Arial"/>
          <w:sz w:val="20"/>
        </w:rPr>
        <w:t xml:space="preserve">[1] </w:t>
      </w:r>
      <w:r w:rsidR="00C17D44" w:rsidRPr="00BA02DF">
        <w:rPr>
          <w:rFonts w:ascii="Arial" w:hAnsi="Arial" w:cs="Arial"/>
          <w:sz w:val="20"/>
        </w:rPr>
        <w:t>Chair notes, RAN2 129 3GPP TSG-RAN WG2 Meeting #129</w:t>
      </w:r>
      <w:r w:rsidR="004A377D" w:rsidRPr="00BA02DF">
        <w:rPr>
          <w:rFonts w:ascii="Arial" w:hAnsi="Arial" w:cs="Arial"/>
          <w:sz w:val="20"/>
        </w:rPr>
        <w:t xml:space="preserve">, </w:t>
      </w:r>
      <w:r w:rsidR="00C17D44" w:rsidRPr="00BA02DF">
        <w:rPr>
          <w:rFonts w:ascii="Arial" w:hAnsi="Arial" w:cs="Arial"/>
          <w:sz w:val="20"/>
        </w:rPr>
        <w:t>Athens, Greece, 2025</w:t>
      </w:r>
    </w:p>
    <w:p w14:paraId="27300B61" w14:textId="13782AED" w:rsidR="004A2831" w:rsidRDefault="004A2831" w:rsidP="004A2831">
      <w:pPr>
        <w:rPr>
          <w:rFonts w:ascii="Arial" w:hAnsi="Arial" w:cs="Arial"/>
          <w:sz w:val="20"/>
        </w:rPr>
      </w:pPr>
      <w:r w:rsidRPr="00BA02DF">
        <w:rPr>
          <w:rFonts w:ascii="Arial" w:hAnsi="Arial" w:cs="Arial"/>
          <w:sz w:val="20"/>
        </w:rPr>
        <w:t>[</w:t>
      </w:r>
      <w:r>
        <w:rPr>
          <w:rFonts w:ascii="Arial" w:hAnsi="Arial" w:cs="Arial"/>
          <w:sz w:val="20"/>
        </w:rPr>
        <w:t>2</w:t>
      </w:r>
      <w:r w:rsidRPr="00BA02DF">
        <w:rPr>
          <w:rFonts w:ascii="Arial" w:hAnsi="Arial" w:cs="Arial"/>
          <w:sz w:val="20"/>
        </w:rPr>
        <w:t>] Chair notes, RAN2 129</w:t>
      </w:r>
      <w:r>
        <w:rPr>
          <w:rFonts w:ascii="Arial" w:hAnsi="Arial" w:cs="Arial"/>
          <w:sz w:val="20"/>
        </w:rPr>
        <w:t>bis</w:t>
      </w:r>
      <w:r w:rsidRPr="00BA02DF">
        <w:rPr>
          <w:rFonts w:ascii="Arial" w:hAnsi="Arial" w:cs="Arial"/>
          <w:sz w:val="20"/>
        </w:rPr>
        <w:t xml:space="preserve"> 3GPP TSG-RAN WG2 Meeting #129</w:t>
      </w:r>
      <w:r>
        <w:rPr>
          <w:rFonts w:ascii="Arial" w:hAnsi="Arial" w:cs="Arial"/>
          <w:sz w:val="20"/>
        </w:rPr>
        <w:t>bis</w:t>
      </w:r>
      <w:r w:rsidRPr="00BA02DF">
        <w:rPr>
          <w:rFonts w:ascii="Arial" w:hAnsi="Arial" w:cs="Arial"/>
          <w:sz w:val="20"/>
        </w:rPr>
        <w:t xml:space="preserve">, </w:t>
      </w:r>
      <w:r>
        <w:rPr>
          <w:rFonts w:ascii="Arial" w:hAnsi="Arial" w:cs="Arial"/>
          <w:sz w:val="20"/>
        </w:rPr>
        <w:t>Wuhan</w:t>
      </w:r>
      <w:r w:rsidRPr="00BA02DF">
        <w:rPr>
          <w:rFonts w:ascii="Arial" w:hAnsi="Arial" w:cs="Arial"/>
          <w:sz w:val="20"/>
        </w:rPr>
        <w:t xml:space="preserve">, </w:t>
      </w:r>
      <w:r>
        <w:rPr>
          <w:rFonts w:ascii="Arial" w:hAnsi="Arial" w:cs="Arial"/>
          <w:sz w:val="20"/>
        </w:rPr>
        <w:t>China</w:t>
      </w:r>
      <w:r w:rsidRPr="00BA02DF">
        <w:rPr>
          <w:rFonts w:ascii="Arial" w:hAnsi="Arial" w:cs="Arial"/>
          <w:sz w:val="20"/>
        </w:rPr>
        <w:t>, 2025</w:t>
      </w:r>
    </w:p>
    <w:p w14:paraId="73F4D7ED" w14:textId="5441FD96" w:rsidR="004A377D" w:rsidRPr="00BA02DF" w:rsidRDefault="00D22523" w:rsidP="004A377D">
      <w:pPr>
        <w:rPr>
          <w:rFonts w:ascii="Arial" w:hAnsi="Arial" w:cs="Arial"/>
          <w:sz w:val="20"/>
        </w:rPr>
      </w:pPr>
      <w:r>
        <w:rPr>
          <w:rFonts w:ascii="Arial" w:hAnsi="Arial" w:cs="Arial"/>
          <w:sz w:val="20"/>
        </w:rPr>
        <w:t xml:space="preserve">[3] </w:t>
      </w:r>
      <w:r w:rsidRPr="00BA02DF">
        <w:rPr>
          <w:rFonts w:ascii="Arial" w:hAnsi="Arial" w:cs="Arial"/>
          <w:sz w:val="20"/>
        </w:rPr>
        <w:t>R</w:t>
      </w:r>
      <w:r w:rsidR="000338D8">
        <w:rPr>
          <w:rFonts w:ascii="Arial" w:hAnsi="Arial" w:cs="Arial"/>
          <w:sz w:val="20"/>
        </w:rPr>
        <w:t>1</w:t>
      </w:r>
      <w:r w:rsidRPr="00BA02DF">
        <w:rPr>
          <w:rFonts w:ascii="Arial" w:hAnsi="Arial" w:cs="Arial"/>
          <w:sz w:val="20"/>
        </w:rPr>
        <w:t>-</w:t>
      </w:r>
      <w:r w:rsidR="000338D8" w:rsidRPr="00337030">
        <w:rPr>
          <w:rFonts w:ascii="Arial" w:hAnsi="Arial" w:cs="Arial"/>
          <w:sz w:val="20"/>
        </w:rPr>
        <w:t>2410898</w:t>
      </w:r>
      <w:r w:rsidR="000338D8">
        <w:rPr>
          <w:rFonts w:ascii="Arial" w:hAnsi="Arial" w:cs="Arial"/>
          <w:sz w:val="20"/>
        </w:rPr>
        <w:t xml:space="preserve"> </w:t>
      </w:r>
      <w:r w:rsidRPr="00337030">
        <w:rPr>
          <w:rFonts w:ascii="Arial" w:hAnsi="Arial" w:cs="Arial"/>
          <w:sz w:val="20"/>
        </w:rPr>
        <w:t>Reply LS on applicable functionality reporting for beam management UE-sided model</w:t>
      </w:r>
      <w:r w:rsidR="004A377D" w:rsidRPr="00BA02DF">
        <w:rPr>
          <w:rFonts w:ascii="Arial" w:hAnsi="Arial" w:cs="Arial"/>
          <w:sz w:val="20"/>
        </w:rPr>
        <w:t xml:space="preserve"> </w:t>
      </w:r>
    </w:p>
    <w:sectPr w:rsidR="004A377D" w:rsidRPr="00BA02DF" w:rsidSect="004C3143">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A542C" w14:textId="77777777" w:rsidR="009750D1" w:rsidRDefault="009750D1">
      <w:pPr>
        <w:spacing w:after="0" w:line="240" w:lineRule="auto"/>
      </w:pPr>
      <w:r>
        <w:separator/>
      </w:r>
    </w:p>
  </w:endnote>
  <w:endnote w:type="continuationSeparator" w:id="0">
    <w:p w14:paraId="7296FC3E" w14:textId="77777777" w:rsidR="009750D1" w:rsidRDefault="009750D1">
      <w:pPr>
        <w:spacing w:after="0" w:line="240" w:lineRule="auto"/>
      </w:pPr>
      <w:r>
        <w:continuationSeparator/>
      </w:r>
    </w:p>
  </w:endnote>
  <w:endnote w:type="continuationNotice" w:id="1">
    <w:p w14:paraId="32D5F1C6" w14:textId="77777777" w:rsidR="009750D1" w:rsidRDefault="009750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auto"/>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F9822" w14:textId="77777777" w:rsidR="009750D1" w:rsidRDefault="009750D1">
      <w:pPr>
        <w:spacing w:after="0" w:line="240" w:lineRule="auto"/>
      </w:pPr>
      <w:r>
        <w:separator/>
      </w:r>
    </w:p>
  </w:footnote>
  <w:footnote w:type="continuationSeparator" w:id="0">
    <w:p w14:paraId="7023A568" w14:textId="77777777" w:rsidR="009750D1" w:rsidRDefault="009750D1">
      <w:pPr>
        <w:spacing w:after="0" w:line="240" w:lineRule="auto"/>
      </w:pPr>
      <w:r>
        <w:continuationSeparator/>
      </w:r>
    </w:p>
  </w:footnote>
  <w:footnote w:type="continuationNotice" w:id="1">
    <w:p w14:paraId="2B26FBCB" w14:textId="77777777" w:rsidR="009750D1" w:rsidRDefault="009750D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3B55"/>
    <w:multiLevelType w:val="multilevel"/>
    <w:tmpl w:val="F1560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DC006AB8"/>
    <w:lvl w:ilvl="0">
      <w:start w:val="1"/>
      <w:numFmt w:val="decimal"/>
      <w:pStyle w:val="Heading1"/>
      <w:lvlText w:val="%1."/>
      <w:lvlJc w:val="left"/>
      <w:pPr>
        <w:tabs>
          <w:tab w:val="num" w:pos="432"/>
        </w:tabs>
        <w:ind w:left="432" w:hanging="432"/>
      </w:pPr>
      <w:rPr>
        <w:rFonts w:hint="default"/>
        <w:b/>
        <w:bCs w:val="0"/>
        <w:sz w:val="28"/>
        <w:szCs w:val="28"/>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281406"/>
    <w:multiLevelType w:val="hybridMultilevel"/>
    <w:tmpl w:val="AD8096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C036E9B"/>
    <w:multiLevelType w:val="hybridMultilevel"/>
    <w:tmpl w:val="204EAC76"/>
    <w:lvl w:ilvl="0" w:tplc="FFFFFFFF">
      <w:start w:val="1"/>
      <w:numFmt w:val="bullet"/>
      <w:lvlText w:val=""/>
      <w:lvlJc w:val="left"/>
      <w:pPr>
        <w:ind w:left="720" w:hanging="360"/>
      </w:pPr>
      <w:rPr>
        <w:rFonts w:ascii="Symbol" w:hAnsi="Symbol" w:hint="default"/>
      </w:rPr>
    </w:lvl>
    <w:lvl w:ilvl="1" w:tplc="1000000F">
      <w:start w:val="1"/>
      <w:numFmt w:val="decimal"/>
      <w:lvlText w:val="%2."/>
      <w:lvlJc w:val="left"/>
      <w:pPr>
        <w:ind w:left="1440" w:hanging="360"/>
      </w:pPr>
    </w:lvl>
    <w:lvl w:ilvl="2" w:tplc="1000000F">
      <w:start w:val="1"/>
      <w:numFmt w:val="decimal"/>
      <w:lvlText w:val="%3."/>
      <w:lvlJc w:val="left"/>
      <w:pPr>
        <w:ind w:left="1440" w:hanging="360"/>
      </w:p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1D14578"/>
    <w:multiLevelType w:val="hybridMultilevel"/>
    <w:tmpl w:val="81B2F66C"/>
    <w:lvl w:ilvl="0" w:tplc="26562538">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5" w15:restartNumberingAfterBreak="0">
    <w:nsid w:val="11D36F86"/>
    <w:multiLevelType w:val="multilevel"/>
    <w:tmpl w:val="86A04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0A4FFF"/>
    <w:multiLevelType w:val="multilevel"/>
    <w:tmpl w:val="47EA3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9DB1BA0"/>
    <w:multiLevelType w:val="hybridMultilevel"/>
    <w:tmpl w:val="EE2CC60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19ED5B1D"/>
    <w:multiLevelType w:val="multilevel"/>
    <w:tmpl w:val="6A84D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967824"/>
    <w:multiLevelType w:val="hybridMultilevel"/>
    <w:tmpl w:val="7A105EBE"/>
    <w:lvl w:ilvl="0" w:tplc="5476CC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D3E192D"/>
    <w:multiLevelType w:val="multilevel"/>
    <w:tmpl w:val="2D267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EDE500C"/>
    <w:multiLevelType w:val="hybridMultilevel"/>
    <w:tmpl w:val="654ED3B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25E446B7"/>
    <w:multiLevelType w:val="multilevel"/>
    <w:tmpl w:val="4BA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1B63DC"/>
    <w:multiLevelType w:val="hybridMultilevel"/>
    <w:tmpl w:val="DD1051D0"/>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ind w:left="720" w:hanging="360"/>
      </w:pPr>
      <w:rPr>
        <w:rFonts w:ascii="Wingdings" w:hAnsi="Wingdings" w:hint="default"/>
      </w:rPr>
    </w:lvl>
    <w:lvl w:ilvl="2" w:tplc="1000000B">
      <w:start w:val="1"/>
      <w:numFmt w:val="bullet"/>
      <w:lvlText w:val=""/>
      <w:lvlJc w:val="left"/>
      <w:pPr>
        <w:ind w:left="720" w:hanging="360"/>
      </w:pPr>
      <w:rPr>
        <w:rFonts w:ascii="Wingdings" w:hAnsi="Wingdings"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8D492E"/>
    <w:multiLevelType w:val="hybridMultilevel"/>
    <w:tmpl w:val="6BF4EF72"/>
    <w:lvl w:ilvl="0" w:tplc="7AC203E8">
      <w:start w:val="1"/>
      <w:numFmt w:val="decimal"/>
      <w:lvlText w:val="%1."/>
      <w:lvlJc w:val="left"/>
      <w:pPr>
        <w:ind w:left="1020" w:hanging="360"/>
      </w:pPr>
    </w:lvl>
    <w:lvl w:ilvl="1" w:tplc="31608E32">
      <w:start w:val="1"/>
      <w:numFmt w:val="decimal"/>
      <w:lvlText w:val="%2."/>
      <w:lvlJc w:val="left"/>
      <w:pPr>
        <w:ind w:left="1020" w:hanging="360"/>
      </w:pPr>
    </w:lvl>
    <w:lvl w:ilvl="2" w:tplc="8DF20038">
      <w:start w:val="1"/>
      <w:numFmt w:val="decimal"/>
      <w:lvlText w:val="%3."/>
      <w:lvlJc w:val="left"/>
      <w:pPr>
        <w:ind w:left="1020" w:hanging="360"/>
      </w:pPr>
    </w:lvl>
    <w:lvl w:ilvl="3" w:tplc="A07A036A">
      <w:start w:val="1"/>
      <w:numFmt w:val="decimal"/>
      <w:lvlText w:val="%4."/>
      <w:lvlJc w:val="left"/>
      <w:pPr>
        <w:ind w:left="1020" w:hanging="360"/>
      </w:pPr>
    </w:lvl>
    <w:lvl w:ilvl="4" w:tplc="3904A28C">
      <w:start w:val="1"/>
      <w:numFmt w:val="decimal"/>
      <w:lvlText w:val="%5."/>
      <w:lvlJc w:val="left"/>
      <w:pPr>
        <w:ind w:left="1020" w:hanging="360"/>
      </w:pPr>
    </w:lvl>
    <w:lvl w:ilvl="5" w:tplc="4B6260BA">
      <w:start w:val="1"/>
      <w:numFmt w:val="decimal"/>
      <w:lvlText w:val="%6."/>
      <w:lvlJc w:val="left"/>
      <w:pPr>
        <w:ind w:left="1020" w:hanging="360"/>
      </w:pPr>
    </w:lvl>
    <w:lvl w:ilvl="6" w:tplc="488A2CF8">
      <w:start w:val="1"/>
      <w:numFmt w:val="decimal"/>
      <w:lvlText w:val="%7."/>
      <w:lvlJc w:val="left"/>
      <w:pPr>
        <w:ind w:left="1020" w:hanging="360"/>
      </w:pPr>
    </w:lvl>
    <w:lvl w:ilvl="7" w:tplc="7882AD7A">
      <w:start w:val="1"/>
      <w:numFmt w:val="decimal"/>
      <w:lvlText w:val="%8."/>
      <w:lvlJc w:val="left"/>
      <w:pPr>
        <w:ind w:left="1020" w:hanging="360"/>
      </w:pPr>
    </w:lvl>
    <w:lvl w:ilvl="8" w:tplc="B59EEE22">
      <w:start w:val="1"/>
      <w:numFmt w:val="decimal"/>
      <w:lvlText w:val="%9."/>
      <w:lvlJc w:val="left"/>
      <w:pPr>
        <w:ind w:left="1020" w:hanging="360"/>
      </w:pPr>
    </w:lvl>
  </w:abstractNum>
  <w:abstractNum w:abstractNumId="1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757A6B"/>
    <w:multiLevelType w:val="hybridMultilevel"/>
    <w:tmpl w:val="5334764A"/>
    <w:lvl w:ilvl="0" w:tplc="FFFFFFFF">
      <w:start w:val="1"/>
      <w:numFmt w:val="bullet"/>
      <w:lvlText w:val=""/>
      <w:lvlJc w:val="left"/>
      <w:pPr>
        <w:ind w:left="720" w:hanging="360"/>
      </w:pPr>
      <w:rPr>
        <w:rFonts w:ascii="Symbol" w:hAnsi="Symbol" w:hint="default"/>
      </w:rPr>
    </w:lvl>
    <w:lvl w:ilvl="1" w:tplc="1000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66B3AA9"/>
    <w:multiLevelType w:val="multilevel"/>
    <w:tmpl w:val="30F69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483C7296"/>
    <w:multiLevelType w:val="hybridMultilevel"/>
    <w:tmpl w:val="69B60A00"/>
    <w:lvl w:ilvl="0" w:tplc="116227CE">
      <w:start w:val="1"/>
      <w:numFmt w:val="decimal"/>
      <w:lvlText w:val="%1."/>
      <w:lvlJc w:val="left"/>
      <w:pPr>
        <w:ind w:left="1020" w:hanging="360"/>
      </w:pPr>
    </w:lvl>
    <w:lvl w:ilvl="1" w:tplc="7AA80BB6">
      <w:start w:val="1"/>
      <w:numFmt w:val="decimal"/>
      <w:lvlText w:val="%2."/>
      <w:lvlJc w:val="left"/>
      <w:pPr>
        <w:ind w:left="1020" w:hanging="360"/>
      </w:pPr>
    </w:lvl>
    <w:lvl w:ilvl="2" w:tplc="9E768B66">
      <w:start w:val="1"/>
      <w:numFmt w:val="decimal"/>
      <w:lvlText w:val="%3."/>
      <w:lvlJc w:val="left"/>
      <w:pPr>
        <w:ind w:left="1020" w:hanging="360"/>
      </w:pPr>
    </w:lvl>
    <w:lvl w:ilvl="3" w:tplc="63B0F06A">
      <w:start w:val="1"/>
      <w:numFmt w:val="decimal"/>
      <w:lvlText w:val="%4."/>
      <w:lvlJc w:val="left"/>
      <w:pPr>
        <w:ind w:left="1020" w:hanging="360"/>
      </w:pPr>
    </w:lvl>
    <w:lvl w:ilvl="4" w:tplc="A5FC2C00">
      <w:start w:val="1"/>
      <w:numFmt w:val="decimal"/>
      <w:lvlText w:val="%5."/>
      <w:lvlJc w:val="left"/>
      <w:pPr>
        <w:ind w:left="1020" w:hanging="360"/>
      </w:pPr>
    </w:lvl>
    <w:lvl w:ilvl="5" w:tplc="65ACFA70">
      <w:start w:val="1"/>
      <w:numFmt w:val="decimal"/>
      <w:lvlText w:val="%6."/>
      <w:lvlJc w:val="left"/>
      <w:pPr>
        <w:ind w:left="1020" w:hanging="360"/>
      </w:pPr>
    </w:lvl>
    <w:lvl w:ilvl="6" w:tplc="54444DB6">
      <w:start w:val="1"/>
      <w:numFmt w:val="decimal"/>
      <w:lvlText w:val="%7."/>
      <w:lvlJc w:val="left"/>
      <w:pPr>
        <w:ind w:left="1020" w:hanging="360"/>
      </w:pPr>
    </w:lvl>
    <w:lvl w:ilvl="7" w:tplc="9AA2A262">
      <w:start w:val="1"/>
      <w:numFmt w:val="decimal"/>
      <w:lvlText w:val="%8."/>
      <w:lvlJc w:val="left"/>
      <w:pPr>
        <w:ind w:left="1020" w:hanging="360"/>
      </w:pPr>
    </w:lvl>
    <w:lvl w:ilvl="8" w:tplc="229C36A4">
      <w:start w:val="1"/>
      <w:numFmt w:val="decimal"/>
      <w:lvlText w:val="%9."/>
      <w:lvlJc w:val="left"/>
      <w:pPr>
        <w:ind w:left="1020" w:hanging="360"/>
      </w:pPr>
    </w:lvl>
  </w:abstractNum>
  <w:abstractNum w:abstractNumId="23"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2764BC"/>
    <w:multiLevelType w:val="hybridMultilevel"/>
    <w:tmpl w:val="50C4D0AC"/>
    <w:lvl w:ilvl="0" w:tplc="2BC0BD22">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02C489F"/>
    <w:multiLevelType w:val="hybridMultilevel"/>
    <w:tmpl w:val="FBBABB98"/>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595AE4"/>
    <w:multiLevelType w:val="multilevel"/>
    <w:tmpl w:val="3536D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68B22A3"/>
    <w:multiLevelType w:val="multilevel"/>
    <w:tmpl w:val="2EC0DFAC"/>
    <w:lvl w:ilvl="0">
      <w:start w:val="1"/>
      <w:numFmt w:val="bullet"/>
      <w:lvlText w:val=""/>
      <w:lvlJc w:val="left"/>
      <w:pPr>
        <w:tabs>
          <w:tab w:val="num" w:pos="360"/>
        </w:tabs>
        <w:ind w:left="360" w:hanging="360"/>
      </w:pPr>
      <w:rPr>
        <w:rFonts w:ascii="Symbol" w:hAnsi="Symbo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2"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D13449D"/>
    <w:multiLevelType w:val="hybridMultilevel"/>
    <w:tmpl w:val="7A105EBE"/>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810"/>
        </w:tabs>
        <w:ind w:left="810" w:hanging="360"/>
      </w:pPr>
      <w:rPr>
        <w:rFonts w:ascii="Courier New" w:hAnsi="Courier New" w:cs="Courier New" w:hint="default"/>
      </w:rPr>
    </w:lvl>
    <w:lvl w:ilvl="2" w:tplc="04090005" w:tentative="1">
      <w:start w:val="1"/>
      <w:numFmt w:val="bullet"/>
      <w:lvlText w:val=""/>
      <w:lvlJc w:val="left"/>
      <w:pPr>
        <w:tabs>
          <w:tab w:val="num" w:pos="1530"/>
        </w:tabs>
        <w:ind w:left="1530" w:hanging="360"/>
      </w:pPr>
      <w:rPr>
        <w:rFonts w:ascii="Wingdings" w:hAnsi="Wingdings" w:hint="default"/>
      </w:rPr>
    </w:lvl>
    <w:lvl w:ilvl="3" w:tplc="04090001" w:tentative="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2970"/>
        </w:tabs>
        <w:ind w:left="2970" w:hanging="360"/>
      </w:pPr>
      <w:rPr>
        <w:rFonts w:ascii="Courier New" w:hAnsi="Courier New" w:cs="Courier New" w:hint="default"/>
      </w:rPr>
    </w:lvl>
    <w:lvl w:ilvl="5" w:tplc="04090005" w:tentative="1">
      <w:start w:val="1"/>
      <w:numFmt w:val="bullet"/>
      <w:lvlText w:val=""/>
      <w:lvlJc w:val="left"/>
      <w:pPr>
        <w:tabs>
          <w:tab w:val="num" w:pos="3690"/>
        </w:tabs>
        <w:ind w:left="3690" w:hanging="360"/>
      </w:pPr>
      <w:rPr>
        <w:rFonts w:ascii="Wingdings" w:hAnsi="Wingdings" w:hint="default"/>
      </w:rPr>
    </w:lvl>
    <w:lvl w:ilvl="6" w:tplc="04090001" w:tentative="1">
      <w:start w:val="1"/>
      <w:numFmt w:val="bullet"/>
      <w:lvlText w:val=""/>
      <w:lvlJc w:val="left"/>
      <w:pPr>
        <w:tabs>
          <w:tab w:val="num" w:pos="4410"/>
        </w:tabs>
        <w:ind w:left="4410" w:hanging="360"/>
      </w:pPr>
      <w:rPr>
        <w:rFonts w:ascii="Symbol" w:hAnsi="Symbol" w:hint="default"/>
      </w:rPr>
    </w:lvl>
    <w:lvl w:ilvl="7" w:tplc="04090003" w:tentative="1">
      <w:start w:val="1"/>
      <w:numFmt w:val="bullet"/>
      <w:lvlText w:val="o"/>
      <w:lvlJc w:val="left"/>
      <w:pPr>
        <w:tabs>
          <w:tab w:val="num" w:pos="5130"/>
        </w:tabs>
        <w:ind w:left="5130" w:hanging="360"/>
      </w:pPr>
      <w:rPr>
        <w:rFonts w:ascii="Courier New" w:hAnsi="Courier New" w:cs="Courier New" w:hint="default"/>
      </w:rPr>
    </w:lvl>
    <w:lvl w:ilvl="8" w:tplc="04090005" w:tentative="1">
      <w:start w:val="1"/>
      <w:numFmt w:val="bullet"/>
      <w:lvlText w:val=""/>
      <w:lvlJc w:val="left"/>
      <w:pPr>
        <w:tabs>
          <w:tab w:val="num" w:pos="5850"/>
        </w:tabs>
        <w:ind w:left="5850" w:hanging="360"/>
      </w:pPr>
      <w:rPr>
        <w:rFonts w:ascii="Wingdings" w:hAnsi="Wingdings" w:hint="default"/>
      </w:rPr>
    </w:lvl>
  </w:abstractNum>
  <w:abstractNum w:abstractNumId="35"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7D7B6A"/>
    <w:multiLevelType w:val="hybridMultilevel"/>
    <w:tmpl w:val="6C764378"/>
    <w:lvl w:ilvl="0" w:tplc="1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129518335">
    <w:abstractNumId w:val="1"/>
  </w:num>
  <w:num w:numId="2" w16cid:durableId="494076756">
    <w:abstractNumId w:val="18"/>
  </w:num>
  <w:num w:numId="3" w16cid:durableId="24795948">
    <w:abstractNumId w:val="25"/>
  </w:num>
  <w:num w:numId="4" w16cid:durableId="876234038">
    <w:abstractNumId w:val="8"/>
  </w:num>
  <w:num w:numId="5" w16cid:durableId="740754545">
    <w:abstractNumId w:val="17"/>
  </w:num>
  <w:num w:numId="6" w16cid:durableId="356853619">
    <w:abstractNumId w:val="34"/>
  </w:num>
  <w:num w:numId="7" w16cid:durableId="407768287">
    <w:abstractNumId w:val="7"/>
  </w:num>
  <w:num w:numId="8" w16cid:durableId="32968445">
    <w:abstractNumId w:val="23"/>
  </w:num>
  <w:num w:numId="9" w16cid:durableId="1250386399">
    <w:abstractNumId w:val="24"/>
  </w:num>
  <w:num w:numId="10" w16cid:durableId="683819755">
    <w:abstractNumId w:val="35"/>
  </w:num>
  <w:num w:numId="11" w16cid:durableId="1004669899">
    <w:abstractNumId w:val="19"/>
  </w:num>
  <w:num w:numId="12" w16cid:durableId="1020467792">
    <w:abstractNumId w:val="9"/>
  </w:num>
  <w:num w:numId="13" w16cid:durableId="1910462662">
    <w:abstractNumId w:val="3"/>
  </w:num>
  <w:num w:numId="14" w16cid:durableId="1774978424">
    <w:abstractNumId w:val="1"/>
  </w:num>
  <w:num w:numId="15" w16cid:durableId="606933413">
    <w:abstractNumId w:val="11"/>
  </w:num>
  <w:num w:numId="16" w16cid:durableId="1081101619">
    <w:abstractNumId w:val="1"/>
  </w:num>
  <w:num w:numId="17" w16cid:durableId="2131393897">
    <w:abstractNumId w:val="2"/>
  </w:num>
  <w:num w:numId="18" w16cid:durableId="146408520">
    <w:abstractNumId w:val="33"/>
  </w:num>
  <w:num w:numId="19" w16cid:durableId="1654480592">
    <w:abstractNumId w:val="28"/>
  </w:num>
  <w:num w:numId="20" w16cid:durableId="22949660">
    <w:abstractNumId w:val="27"/>
  </w:num>
  <w:num w:numId="21" w16cid:durableId="1184782651">
    <w:abstractNumId w:val="21"/>
  </w:num>
  <w:num w:numId="22" w16cid:durableId="1389841978">
    <w:abstractNumId w:val="12"/>
  </w:num>
  <w:num w:numId="23" w16cid:durableId="661858518">
    <w:abstractNumId w:val="30"/>
  </w:num>
  <w:num w:numId="24" w16cid:durableId="1904364592">
    <w:abstractNumId w:val="5"/>
  </w:num>
  <w:num w:numId="25" w16cid:durableId="1072700238">
    <w:abstractNumId w:val="22"/>
  </w:num>
  <w:num w:numId="26" w16cid:durableId="308676751">
    <w:abstractNumId w:val="16"/>
  </w:num>
  <w:num w:numId="27" w16cid:durableId="353844852">
    <w:abstractNumId w:val="6"/>
  </w:num>
  <w:num w:numId="28" w16cid:durableId="148448004">
    <w:abstractNumId w:val="14"/>
  </w:num>
  <w:num w:numId="29" w16cid:durableId="220093567">
    <w:abstractNumId w:val="32"/>
  </w:num>
  <w:num w:numId="30" w16cid:durableId="1195843392">
    <w:abstractNumId w:val="0"/>
  </w:num>
  <w:num w:numId="31" w16cid:durableId="289365085">
    <w:abstractNumId w:val="31"/>
  </w:num>
  <w:num w:numId="32" w16cid:durableId="1708329481">
    <w:abstractNumId w:val="13"/>
  </w:num>
  <w:num w:numId="33" w16cid:durableId="1895726846">
    <w:abstractNumId w:val="36"/>
  </w:num>
  <w:num w:numId="34" w16cid:durableId="1486241703">
    <w:abstractNumId w:val="26"/>
  </w:num>
  <w:num w:numId="35" w16cid:durableId="1033925726">
    <w:abstractNumId w:val="29"/>
  </w:num>
  <w:num w:numId="36" w16cid:durableId="1277253883">
    <w:abstractNumId w:val="15"/>
  </w:num>
  <w:num w:numId="37" w16cid:durableId="1039277990">
    <w:abstractNumId w:val="10"/>
  </w:num>
  <w:num w:numId="38" w16cid:durableId="1001545020">
    <w:abstractNumId w:val="1"/>
  </w:num>
  <w:num w:numId="39" w16cid:durableId="1266617204">
    <w:abstractNumId w:val="20"/>
  </w:num>
  <w:num w:numId="40" w16cid:durableId="385032586">
    <w:abstractNumId w:val="1"/>
  </w:num>
  <w:num w:numId="41" w16cid:durableId="118621188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09F4"/>
    <w:rsid w:val="00000B7F"/>
    <w:rsid w:val="00001177"/>
    <w:rsid w:val="000014C2"/>
    <w:rsid w:val="0000178E"/>
    <w:rsid w:val="00001876"/>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1D"/>
    <w:rsid w:val="0001015D"/>
    <w:rsid w:val="000103B4"/>
    <w:rsid w:val="0001050B"/>
    <w:rsid w:val="00010818"/>
    <w:rsid w:val="00010884"/>
    <w:rsid w:val="000117B1"/>
    <w:rsid w:val="00011C1B"/>
    <w:rsid w:val="00011D64"/>
    <w:rsid w:val="00012F38"/>
    <w:rsid w:val="00012FF3"/>
    <w:rsid w:val="00013A3B"/>
    <w:rsid w:val="000143D0"/>
    <w:rsid w:val="000145C7"/>
    <w:rsid w:val="000148B9"/>
    <w:rsid w:val="000166F9"/>
    <w:rsid w:val="000168F5"/>
    <w:rsid w:val="00016BF3"/>
    <w:rsid w:val="000170F0"/>
    <w:rsid w:val="000178FF"/>
    <w:rsid w:val="0002028D"/>
    <w:rsid w:val="0002108D"/>
    <w:rsid w:val="0002174B"/>
    <w:rsid w:val="00021E03"/>
    <w:rsid w:val="0002251F"/>
    <w:rsid w:val="000232BD"/>
    <w:rsid w:val="0002330B"/>
    <w:rsid w:val="00023991"/>
    <w:rsid w:val="00023FAD"/>
    <w:rsid w:val="0002406F"/>
    <w:rsid w:val="00024077"/>
    <w:rsid w:val="000248E8"/>
    <w:rsid w:val="00024B97"/>
    <w:rsid w:val="0002526C"/>
    <w:rsid w:val="00025A91"/>
    <w:rsid w:val="00025BE4"/>
    <w:rsid w:val="00026A00"/>
    <w:rsid w:val="00026DBB"/>
    <w:rsid w:val="00027995"/>
    <w:rsid w:val="000302AA"/>
    <w:rsid w:val="000310B7"/>
    <w:rsid w:val="00031A95"/>
    <w:rsid w:val="00032253"/>
    <w:rsid w:val="00032594"/>
    <w:rsid w:val="0003301D"/>
    <w:rsid w:val="00033029"/>
    <w:rsid w:val="0003389F"/>
    <w:rsid w:val="000338D8"/>
    <w:rsid w:val="00034109"/>
    <w:rsid w:val="000341C6"/>
    <w:rsid w:val="00034515"/>
    <w:rsid w:val="00034B89"/>
    <w:rsid w:val="00034EF9"/>
    <w:rsid w:val="000356EB"/>
    <w:rsid w:val="00035BDC"/>
    <w:rsid w:val="0003642B"/>
    <w:rsid w:val="000367DB"/>
    <w:rsid w:val="0003789E"/>
    <w:rsid w:val="00037E5F"/>
    <w:rsid w:val="00037FC9"/>
    <w:rsid w:val="00040248"/>
    <w:rsid w:val="00040364"/>
    <w:rsid w:val="00040566"/>
    <w:rsid w:val="000406A1"/>
    <w:rsid w:val="000409BE"/>
    <w:rsid w:val="0004104B"/>
    <w:rsid w:val="00041764"/>
    <w:rsid w:val="00041967"/>
    <w:rsid w:val="00041EBF"/>
    <w:rsid w:val="0004341D"/>
    <w:rsid w:val="0004394D"/>
    <w:rsid w:val="0004432C"/>
    <w:rsid w:val="0004548C"/>
    <w:rsid w:val="000459C8"/>
    <w:rsid w:val="0004621D"/>
    <w:rsid w:val="0004630D"/>
    <w:rsid w:val="0004680A"/>
    <w:rsid w:val="00046BE8"/>
    <w:rsid w:val="00046DD6"/>
    <w:rsid w:val="000476E3"/>
    <w:rsid w:val="00050557"/>
    <w:rsid w:val="00050A80"/>
    <w:rsid w:val="00050C2A"/>
    <w:rsid w:val="00051150"/>
    <w:rsid w:val="000512D7"/>
    <w:rsid w:val="000513E3"/>
    <w:rsid w:val="000527DD"/>
    <w:rsid w:val="000538FD"/>
    <w:rsid w:val="00053D37"/>
    <w:rsid w:val="000545DC"/>
    <w:rsid w:val="00054808"/>
    <w:rsid w:val="00054D00"/>
    <w:rsid w:val="00054F7D"/>
    <w:rsid w:val="00055510"/>
    <w:rsid w:val="00055A38"/>
    <w:rsid w:val="0005619D"/>
    <w:rsid w:val="000562FA"/>
    <w:rsid w:val="00056E91"/>
    <w:rsid w:val="00057CF4"/>
    <w:rsid w:val="00061E16"/>
    <w:rsid w:val="00062AF0"/>
    <w:rsid w:val="00062D62"/>
    <w:rsid w:val="00062EDB"/>
    <w:rsid w:val="000632EE"/>
    <w:rsid w:val="000636DE"/>
    <w:rsid w:val="00063A9C"/>
    <w:rsid w:val="00064288"/>
    <w:rsid w:val="000643FF"/>
    <w:rsid w:val="000644C0"/>
    <w:rsid w:val="00064948"/>
    <w:rsid w:val="00064BA3"/>
    <w:rsid w:val="0006548A"/>
    <w:rsid w:val="00065DD5"/>
    <w:rsid w:val="000672AD"/>
    <w:rsid w:val="000672F2"/>
    <w:rsid w:val="000676C3"/>
    <w:rsid w:val="0007056B"/>
    <w:rsid w:val="00070914"/>
    <w:rsid w:val="00070B55"/>
    <w:rsid w:val="00070B95"/>
    <w:rsid w:val="000711C0"/>
    <w:rsid w:val="00071771"/>
    <w:rsid w:val="00071BD6"/>
    <w:rsid w:val="00071C6F"/>
    <w:rsid w:val="00071E10"/>
    <w:rsid w:val="0007208D"/>
    <w:rsid w:val="000720DD"/>
    <w:rsid w:val="000723DF"/>
    <w:rsid w:val="00072563"/>
    <w:rsid w:val="00072735"/>
    <w:rsid w:val="00072838"/>
    <w:rsid w:val="00073029"/>
    <w:rsid w:val="000730DE"/>
    <w:rsid w:val="000731C7"/>
    <w:rsid w:val="000736B4"/>
    <w:rsid w:val="00073735"/>
    <w:rsid w:val="0007451D"/>
    <w:rsid w:val="00074556"/>
    <w:rsid w:val="000749AC"/>
    <w:rsid w:val="00075101"/>
    <w:rsid w:val="00075123"/>
    <w:rsid w:val="000755A2"/>
    <w:rsid w:val="00075EB2"/>
    <w:rsid w:val="000761EB"/>
    <w:rsid w:val="00076D3C"/>
    <w:rsid w:val="00076DE2"/>
    <w:rsid w:val="00076EAD"/>
    <w:rsid w:val="00076EC4"/>
    <w:rsid w:val="00080182"/>
    <w:rsid w:val="0008020E"/>
    <w:rsid w:val="00080366"/>
    <w:rsid w:val="00080A9A"/>
    <w:rsid w:val="00080DD3"/>
    <w:rsid w:val="0008159C"/>
    <w:rsid w:val="00081A9A"/>
    <w:rsid w:val="00082583"/>
    <w:rsid w:val="00082C74"/>
    <w:rsid w:val="00083247"/>
    <w:rsid w:val="00083C4D"/>
    <w:rsid w:val="00084367"/>
    <w:rsid w:val="00085787"/>
    <w:rsid w:val="000865D6"/>
    <w:rsid w:val="00086B41"/>
    <w:rsid w:val="00086B78"/>
    <w:rsid w:val="00086FB4"/>
    <w:rsid w:val="00090B25"/>
    <w:rsid w:val="00090DFC"/>
    <w:rsid w:val="00091292"/>
    <w:rsid w:val="00091492"/>
    <w:rsid w:val="00091792"/>
    <w:rsid w:val="0009195B"/>
    <w:rsid w:val="00093179"/>
    <w:rsid w:val="00093363"/>
    <w:rsid w:val="00094AEA"/>
    <w:rsid w:val="000959D1"/>
    <w:rsid w:val="00095A22"/>
    <w:rsid w:val="00096252"/>
    <w:rsid w:val="00096724"/>
    <w:rsid w:val="00096795"/>
    <w:rsid w:val="00096AFE"/>
    <w:rsid w:val="00096E08"/>
    <w:rsid w:val="00097C9C"/>
    <w:rsid w:val="000A0503"/>
    <w:rsid w:val="000A0660"/>
    <w:rsid w:val="000A0B52"/>
    <w:rsid w:val="000A17AB"/>
    <w:rsid w:val="000A1922"/>
    <w:rsid w:val="000A2371"/>
    <w:rsid w:val="000A264C"/>
    <w:rsid w:val="000A2AA2"/>
    <w:rsid w:val="000A2E74"/>
    <w:rsid w:val="000A3105"/>
    <w:rsid w:val="000A35A3"/>
    <w:rsid w:val="000A367D"/>
    <w:rsid w:val="000A4228"/>
    <w:rsid w:val="000A4393"/>
    <w:rsid w:val="000A45BB"/>
    <w:rsid w:val="000A5720"/>
    <w:rsid w:val="000A579F"/>
    <w:rsid w:val="000A57B5"/>
    <w:rsid w:val="000A71B4"/>
    <w:rsid w:val="000A736F"/>
    <w:rsid w:val="000A75CC"/>
    <w:rsid w:val="000A7685"/>
    <w:rsid w:val="000B04C8"/>
    <w:rsid w:val="000B118A"/>
    <w:rsid w:val="000B1225"/>
    <w:rsid w:val="000B136F"/>
    <w:rsid w:val="000B148E"/>
    <w:rsid w:val="000B179E"/>
    <w:rsid w:val="000B18D9"/>
    <w:rsid w:val="000B1979"/>
    <w:rsid w:val="000B1C79"/>
    <w:rsid w:val="000B1D96"/>
    <w:rsid w:val="000B2113"/>
    <w:rsid w:val="000B2A44"/>
    <w:rsid w:val="000B2BEF"/>
    <w:rsid w:val="000B33B4"/>
    <w:rsid w:val="000B3ABC"/>
    <w:rsid w:val="000B3E9F"/>
    <w:rsid w:val="000B4C50"/>
    <w:rsid w:val="000B4CFF"/>
    <w:rsid w:val="000B69BF"/>
    <w:rsid w:val="000B7A9C"/>
    <w:rsid w:val="000B7CAD"/>
    <w:rsid w:val="000C0327"/>
    <w:rsid w:val="000C0660"/>
    <w:rsid w:val="000C0812"/>
    <w:rsid w:val="000C1737"/>
    <w:rsid w:val="000C1F06"/>
    <w:rsid w:val="000C2C1D"/>
    <w:rsid w:val="000C313D"/>
    <w:rsid w:val="000C3AEE"/>
    <w:rsid w:val="000C3EE9"/>
    <w:rsid w:val="000C431F"/>
    <w:rsid w:val="000C43D8"/>
    <w:rsid w:val="000C48B2"/>
    <w:rsid w:val="000C49BF"/>
    <w:rsid w:val="000C55A9"/>
    <w:rsid w:val="000C58AA"/>
    <w:rsid w:val="000C5938"/>
    <w:rsid w:val="000C5F2A"/>
    <w:rsid w:val="000C6656"/>
    <w:rsid w:val="000C6E7C"/>
    <w:rsid w:val="000C75E3"/>
    <w:rsid w:val="000C77AE"/>
    <w:rsid w:val="000C7F48"/>
    <w:rsid w:val="000D0A8F"/>
    <w:rsid w:val="000D0CDA"/>
    <w:rsid w:val="000D1570"/>
    <w:rsid w:val="000D285D"/>
    <w:rsid w:val="000D28E9"/>
    <w:rsid w:val="000D2A73"/>
    <w:rsid w:val="000D3164"/>
    <w:rsid w:val="000D3261"/>
    <w:rsid w:val="000D395F"/>
    <w:rsid w:val="000D3E5B"/>
    <w:rsid w:val="000D48A6"/>
    <w:rsid w:val="000D4958"/>
    <w:rsid w:val="000D4C74"/>
    <w:rsid w:val="000D4EF4"/>
    <w:rsid w:val="000D5217"/>
    <w:rsid w:val="000D531D"/>
    <w:rsid w:val="000D5A38"/>
    <w:rsid w:val="000D5F66"/>
    <w:rsid w:val="000D6077"/>
    <w:rsid w:val="000D6B90"/>
    <w:rsid w:val="000D6CA0"/>
    <w:rsid w:val="000D6CF0"/>
    <w:rsid w:val="000D78FB"/>
    <w:rsid w:val="000E0256"/>
    <w:rsid w:val="000E07D9"/>
    <w:rsid w:val="000E07FC"/>
    <w:rsid w:val="000E0C8F"/>
    <w:rsid w:val="000E0E6A"/>
    <w:rsid w:val="000E141F"/>
    <w:rsid w:val="000E143A"/>
    <w:rsid w:val="000E1A05"/>
    <w:rsid w:val="000E3E39"/>
    <w:rsid w:val="000E4363"/>
    <w:rsid w:val="000E4B54"/>
    <w:rsid w:val="000E583C"/>
    <w:rsid w:val="000E5AC6"/>
    <w:rsid w:val="000E5CA3"/>
    <w:rsid w:val="000E5FDE"/>
    <w:rsid w:val="000E6C36"/>
    <w:rsid w:val="000E70CB"/>
    <w:rsid w:val="000E778C"/>
    <w:rsid w:val="000F037E"/>
    <w:rsid w:val="000F1598"/>
    <w:rsid w:val="000F17A0"/>
    <w:rsid w:val="000F2092"/>
    <w:rsid w:val="000F231C"/>
    <w:rsid w:val="000F3711"/>
    <w:rsid w:val="000F47A1"/>
    <w:rsid w:val="000F49A2"/>
    <w:rsid w:val="000F4CF8"/>
    <w:rsid w:val="000F4E68"/>
    <w:rsid w:val="000F5C63"/>
    <w:rsid w:val="000F5F0D"/>
    <w:rsid w:val="000F6303"/>
    <w:rsid w:val="000F6374"/>
    <w:rsid w:val="000F6793"/>
    <w:rsid w:val="000F689B"/>
    <w:rsid w:val="000F6AB0"/>
    <w:rsid w:val="000F71C1"/>
    <w:rsid w:val="000F7453"/>
    <w:rsid w:val="000F76F5"/>
    <w:rsid w:val="001004A4"/>
    <w:rsid w:val="0010083D"/>
    <w:rsid w:val="0010165C"/>
    <w:rsid w:val="001017A8"/>
    <w:rsid w:val="00101A32"/>
    <w:rsid w:val="001023C2"/>
    <w:rsid w:val="0010283B"/>
    <w:rsid w:val="00102A80"/>
    <w:rsid w:val="00103160"/>
    <w:rsid w:val="0010349A"/>
    <w:rsid w:val="001035C8"/>
    <w:rsid w:val="001038D8"/>
    <w:rsid w:val="001041B8"/>
    <w:rsid w:val="0010478C"/>
    <w:rsid w:val="00104D7F"/>
    <w:rsid w:val="00104E02"/>
    <w:rsid w:val="001052BE"/>
    <w:rsid w:val="00105FC1"/>
    <w:rsid w:val="0010618F"/>
    <w:rsid w:val="001074F1"/>
    <w:rsid w:val="0010773A"/>
    <w:rsid w:val="00107B07"/>
    <w:rsid w:val="00107FCD"/>
    <w:rsid w:val="00110BB2"/>
    <w:rsid w:val="001110CD"/>
    <w:rsid w:val="00111AAC"/>
    <w:rsid w:val="00112298"/>
    <w:rsid w:val="001124BD"/>
    <w:rsid w:val="0011266E"/>
    <w:rsid w:val="001127AE"/>
    <w:rsid w:val="001128D2"/>
    <w:rsid w:val="00112D9F"/>
    <w:rsid w:val="00112FB3"/>
    <w:rsid w:val="00113507"/>
    <w:rsid w:val="0011357D"/>
    <w:rsid w:val="00113975"/>
    <w:rsid w:val="001141C8"/>
    <w:rsid w:val="001147BE"/>
    <w:rsid w:val="00114D74"/>
    <w:rsid w:val="0011548D"/>
    <w:rsid w:val="00115666"/>
    <w:rsid w:val="00115741"/>
    <w:rsid w:val="00115D57"/>
    <w:rsid w:val="00117028"/>
    <w:rsid w:val="00117103"/>
    <w:rsid w:val="001172E9"/>
    <w:rsid w:val="00117657"/>
    <w:rsid w:val="001179FA"/>
    <w:rsid w:val="00117A4B"/>
    <w:rsid w:val="0012126A"/>
    <w:rsid w:val="00121FCA"/>
    <w:rsid w:val="0012284B"/>
    <w:rsid w:val="00122861"/>
    <w:rsid w:val="001229AD"/>
    <w:rsid w:val="00122AEB"/>
    <w:rsid w:val="00122CA5"/>
    <w:rsid w:val="00122D2C"/>
    <w:rsid w:val="00123120"/>
    <w:rsid w:val="001233FB"/>
    <w:rsid w:val="0012344B"/>
    <w:rsid w:val="00123699"/>
    <w:rsid w:val="0012375F"/>
    <w:rsid w:val="00124344"/>
    <w:rsid w:val="00124DD8"/>
    <w:rsid w:val="001250D6"/>
    <w:rsid w:val="0012586F"/>
    <w:rsid w:val="0012589A"/>
    <w:rsid w:val="00125A8B"/>
    <w:rsid w:val="00126233"/>
    <w:rsid w:val="001268A5"/>
    <w:rsid w:val="00126B68"/>
    <w:rsid w:val="00126C8E"/>
    <w:rsid w:val="00126F0B"/>
    <w:rsid w:val="00127607"/>
    <w:rsid w:val="00127CE9"/>
    <w:rsid w:val="00130B10"/>
    <w:rsid w:val="00130C36"/>
    <w:rsid w:val="00130CBC"/>
    <w:rsid w:val="0013106E"/>
    <w:rsid w:val="0013120D"/>
    <w:rsid w:val="00131BFF"/>
    <w:rsid w:val="0013202A"/>
    <w:rsid w:val="00132269"/>
    <w:rsid w:val="001330BC"/>
    <w:rsid w:val="0013318C"/>
    <w:rsid w:val="00133B97"/>
    <w:rsid w:val="00135055"/>
    <w:rsid w:val="00135094"/>
    <w:rsid w:val="001351B4"/>
    <w:rsid w:val="0013583D"/>
    <w:rsid w:val="001358D7"/>
    <w:rsid w:val="00136006"/>
    <w:rsid w:val="00136A9F"/>
    <w:rsid w:val="001370CC"/>
    <w:rsid w:val="0014064A"/>
    <w:rsid w:val="00140725"/>
    <w:rsid w:val="00140CF2"/>
    <w:rsid w:val="00142002"/>
    <w:rsid w:val="0014284A"/>
    <w:rsid w:val="00143377"/>
    <w:rsid w:val="00143A70"/>
    <w:rsid w:val="00143F43"/>
    <w:rsid w:val="0014453F"/>
    <w:rsid w:val="00144C58"/>
    <w:rsid w:val="00145022"/>
    <w:rsid w:val="00145420"/>
    <w:rsid w:val="00145B43"/>
    <w:rsid w:val="00145D75"/>
    <w:rsid w:val="00145FB7"/>
    <w:rsid w:val="00146225"/>
    <w:rsid w:val="00146543"/>
    <w:rsid w:val="00146923"/>
    <w:rsid w:val="00146D92"/>
    <w:rsid w:val="00146ED2"/>
    <w:rsid w:val="00146EF5"/>
    <w:rsid w:val="001473DC"/>
    <w:rsid w:val="00147EE4"/>
    <w:rsid w:val="001509C8"/>
    <w:rsid w:val="001510F0"/>
    <w:rsid w:val="001512BB"/>
    <w:rsid w:val="001512F6"/>
    <w:rsid w:val="00151476"/>
    <w:rsid w:val="001514AE"/>
    <w:rsid w:val="00151C80"/>
    <w:rsid w:val="00151CA3"/>
    <w:rsid w:val="00152005"/>
    <w:rsid w:val="001525BF"/>
    <w:rsid w:val="00152DB6"/>
    <w:rsid w:val="0015382C"/>
    <w:rsid w:val="001547C9"/>
    <w:rsid w:val="00154F31"/>
    <w:rsid w:val="001550CF"/>
    <w:rsid w:val="0015545A"/>
    <w:rsid w:val="0015592E"/>
    <w:rsid w:val="001561F7"/>
    <w:rsid w:val="00156BA7"/>
    <w:rsid w:val="00156D63"/>
    <w:rsid w:val="00156FB9"/>
    <w:rsid w:val="00157176"/>
    <w:rsid w:val="0015763F"/>
    <w:rsid w:val="00157F43"/>
    <w:rsid w:val="00160024"/>
    <w:rsid w:val="001605E8"/>
    <w:rsid w:val="00160D83"/>
    <w:rsid w:val="00161188"/>
    <w:rsid w:val="001617DC"/>
    <w:rsid w:val="00161A91"/>
    <w:rsid w:val="001626E5"/>
    <w:rsid w:val="00162AC1"/>
    <w:rsid w:val="00162FB8"/>
    <w:rsid w:val="001633D0"/>
    <w:rsid w:val="0016391B"/>
    <w:rsid w:val="00163928"/>
    <w:rsid w:val="00163DBF"/>
    <w:rsid w:val="00164B98"/>
    <w:rsid w:val="00164CEC"/>
    <w:rsid w:val="00164F05"/>
    <w:rsid w:val="001656D9"/>
    <w:rsid w:val="00166652"/>
    <w:rsid w:val="001667BE"/>
    <w:rsid w:val="00166C4F"/>
    <w:rsid w:val="001676DC"/>
    <w:rsid w:val="001677CA"/>
    <w:rsid w:val="00167C78"/>
    <w:rsid w:val="00170133"/>
    <w:rsid w:val="001709E4"/>
    <w:rsid w:val="00171232"/>
    <w:rsid w:val="00171325"/>
    <w:rsid w:val="00171381"/>
    <w:rsid w:val="00171852"/>
    <w:rsid w:val="00172236"/>
    <w:rsid w:val="00172253"/>
    <w:rsid w:val="00172642"/>
    <w:rsid w:val="00172E69"/>
    <w:rsid w:val="0017352C"/>
    <w:rsid w:val="00173D83"/>
    <w:rsid w:val="00174DD5"/>
    <w:rsid w:val="001755AE"/>
    <w:rsid w:val="0017588E"/>
    <w:rsid w:val="00176104"/>
    <w:rsid w:val="0017626E"/>
    <w:rsid w:val="00176392"/>
    <w:rsid w:val="001767CE"/>
    <w:rsid w:val="00176A05"/>
    <w:rsid w:val="0017713F"/>
    <w:rsid w:val="00180C8E"/>
    <w:rsid w:val="0018121D"/>
    <w:rsid w:val="00181226"/>
    <w:rsid w:val="001814E9"/>
    <w:rsid w:val="001822FF"/>
    <w:rsid w:val="00182317"/>
    <w:rsid w:val="00182629"/>
    <w:rsid w:val="00182774"/>
    <w:rsid w:val="0018299F"/>
    <w:rsid w:val="00182CAD"/>
    <w:rsid w:val="0018320D"/>
    <w:rsid w:val="001833A9"/>
    <w:rsid w:val="0018379C"/>
    <w:rsid w:val="0018522A"/>
    <w:rsid w:val="00185B61"/>
    <w:rsid w:val="0018619C"/>
    <w:rsid w:val="001865C8"/>
    <w:rsid w:val="00186A59"/>
    <w:rsid w:val="00186AA7"/>
    <w:rsid w:val="00187108"/>
    <w:rsid w:val="00190175"/>
    <w:rsid w:val="00190335"/>
    <w:rsid w:val="0019092C"/>
    <w:rsid w:val="00191C40"/>
    <w:rsid w:val="00191E1F"/>
    <w:rsid w:val="001923AE"/>
    <w:rsid w:val="0019243B"/>
    <w:rsid w:val="001926CD"/>
    <w:rsid w:val="001927A6"/>
    <w:rsid w:val="00192E4E"/>
    <w:rsid w:val="00193540"/>
    <w:rsid w:val="00193644"/>
    <w:rsid w:val="00193E20"/>
    <w:rsid w:val="0019479D"/>
    <w:rsid w:val="00194A3A"/>
    <w:rsid w:val="00194DEB"/>
    <w:rsid w:val="001957DC"/>
    <w:rsid w:val="00195E21"/>
    <w:rsid w:val="00195FEF"/>
    <w:rsid w:val="001964DB"/>
    <w:rsid w:val="00196C6C"/>
    <w:rsid w:val="00196EEE"/>
    <w:rsid w:val="001A01BE"/>
    <w:rsid w:val="001A0D0B"/>
    <w:rsid w:val="001A0E38"/>
    <w:rsid w:val="001A18ED"/>
    <w:rsid w:val="001A1F47"/>
    <w:rsid w:val="001A2354"/>
    <w:rsid w:val="001A23A7"/>
    <w:rsid w:val="001A2F08"/>
    <w:rsid w:val="001A492F"/>
    <w:rsid w:val="001A4B98"/>
    <w:rsid w:val="001A4E12"/>
    <w:rsid w:val="001A55C6"/>
    <w:rsid w:val="001A5BE9"/>
    <w:rsid w:val="001A5C21"/>
    <w:rsid w:val="001A5D45"/>
    <w:rsid w:val="001A5F96"/>
    <w:rsid w:val="001A6E3E"/>
    <w:rsid w:val="001A7731"/>
    <w:rsid w:val="001A7C55"/>
    <w:rsid w:val="001B03D6"/>
    <w:rsid w:val="001B0A81"/>
    <w:rsid w:val="001B10EA"/>
    <w:rsid w:val="001B131E"/>
    <w:rsid w:val="001B198C"/>
    <w:rsid w:val="001B2F01"/>
    <w:rsid w:val="001B35FE"/>
    <w:rsid w:val="001B3B85"/>
    <w:rsid w:val="001B409E"/>
    <w:rsid w:val="001B4656"/>
    <w:rsid w:val="001B4784"/>
    <w:rsid w:val="001B500F"/>
    <w:rsid w:val="001B591A"/>
    <w:rsid w:val="001B5F18"/>
    <w:rsid w:val="001B6ACD"/>
    <w:rsid w:val="001B6C33"/>
    <w:rsid w:val="001B702C"/>
    <w:rsid w:val="001B7350"/>
    <w:rsid w:val="001B776F"/>
    <w:rsid w:val="001B7B82"/>
    <w:rsid w:val="001C05DD"/>
    <w:rsid w:val="001C0721"/>
    <w:rsid w:val="001C0B71"/>
    <w:rsid w:val="001C20B2"/>
    <w:rsid w:val="001C2532"/>
    <w:rsid w:val="001C2A81"/>
    <w:rsid w:val="001C2AFF"/>
    <w:rsid w:val="001C2D5C"/>
    <w:rsid w:val="001C30A9"/>
    <w:rsid w:val="001C3302"/>
    <w:rsid w:val="001C3517"/>
    <w:rsid w:val="001C3F34"/>
    <w:rsid w:val="001C4365"/>
    <w:rsid w:val="001C4372"/>
    <w:rsid w:val="001C47F5"/>
    <w:rsid w:val="001C4B6A"/>
    <w:rsid w:val="001C54FF"/>
    <w:rsid w:val="001C60D8"/>
    <w:rsid w:val="001C6B4E"/>
    <w:rsid w:val="001D007E"/>
    <w:rsid w:val="001D1A95"/>
    <w:rsid w:val="001D1FC5"/>
    <w:rsid w:val="001D2539"/>
    <w:rsid w:val="001D27DD"/>
    <w:rsid w:val="001D299B"/>
    <w:rsid w:val="001D2C22"/>
    <w:rsid w:val="001D2D3D"/>
    <w:rsid w:val="001D34FC"/>
    <w:rsid w:val="001D3719"/>
    <w:rsid w:val="001D38A9"/>
    <w:rsid w:val="001D404E"/>
    <w:rsid w:val="001D4B35"/>
    <w:rsid w:val="001D5032"/>
    <w:rsid w:val="001D515E"/>
    <w:rsid w:val="001D52D0"/>
    <w:rsid w:val="001D550A"/>
    <w:rsid w:val="001D5733"/>
    <w:rsid w:val="001D57B3"/>
    <w:rsid w:val="001D59E0"/>
    <w:rsid w:val="001D6315"/>
    <w:rsid w:val="001D69F0"/>
    <w:rsid w:val="001D6EB5"/>
    <w:rsid w:val="001D7475"/>
    <w:rsid w:val="001D7676"/>
    <w:rsid w:val="001D79EB"/>
    <w:rsid w:val="001D7B32"/>
    <w:rsid w:val="001D7C0B"/>
    <w:rsid w:val="001D7D4D"/>
    <w:rsid w:val="001D7E33"/>
    <w:rsid w:val="001E01A9"/>
    <w:rsid w:val="001E01C7"/>
    <w:rsid w:val="001E07AB"/>
    <w:rsid w:val="001E087E"/>
    <w:rsid w:val="001E1099"/>
    <w:rsid w:val="001E1202"/>
    <w:rsid w:val="001E1252"/>
    <w:rsid w:val="001E196B"/>
    <w:rsid w:val="001E3682"/>
    <w:rsid w:val="001E3AEE"/>
    <w:rsid w:val="001E4112"/>
    <w:rsid w:val="001E411E"/>
    <w:rsid w:val="001E49C4"/>
    <w:rsid w:val="001E5BD2"/>
    <w:rsid w:val="001E5E9F"/>
    <w:rsid w:val="001E649E"/>
    <w:rsid w:val="001E6C0B"/>
    <w:rsid w:val="001E6DC1"/>
    <w:rsid w:val="001E6FF3"/>
    <w:rsid w:val="001E79C5"/>
    <w:rsid w:val="001F1227"/>
    <w:rsid w:val="001F1AD5"/>
    <w:rsid w:val="001F2E28"/>
    <w:rsid w:val="001F321D"/>
    <w:rsid w:val="001F3538"/>
    <w:rsid w:val="001F35E8"/>
    <w:rsid w:val="001F36A7"/>
    <w:rsid w:val="001F37B7"/>
    <w:rsid w:val="001F3CC6"/>
    <w:rsid w:val="001F428F"/>
    <w:rsid w:val="001F5506"/>
    <w:rsid w:val="001F5894"/>
    <w:rsid w:val="001F6BC4"/>
    <w:rsid w:val="001F702E"/>
    <w:rsid w:val="001F72FC"/>
    <w:rsid w:val="001F78DD"/>
    <w:rsid w:val="00200991"/>
    <w:rsid w:val="00201BE0"/>
    <w:rsid w:val="0020309F"/>
    <w:rsid w:val="00203E23"/>
    <w:rsid w:val="00203E47"/>
    <w:rsid w:val="00204C68"/>
    <w:rsid w:val="00204DB4"/>
    <w:rsid w:val="00204EDF"/>
    <w:rsid w:val="0020504D"/>
    <w:rsid w:val="00205BA8"/>
    <w:rsid w:val="00205E07"/>
    <w:rsid w:val="002065A6"/>
    <w:rsid w:val="00207014"/>
    <w:rsid w:val="00207D27"/>
    <w:rsid w:val="00207F67"/>
    <w:rsid w:val="002103B2"/>
    <w:rsid w:val="00210644"/>
    <w:rsid w:val="00210D38"/>
    <w:rsid w:val="00210DC1"/>
    <w:rsid w:val="0021106A"/>
    <w:rsid w:val="002110C6"/>
    <w:rsid w:val="00211598"/>
    <w:rsid w:val="00211AA2"/>
    <w:rsid w:val="002124B2"/>
    <w:rsid w:val="00212CFB"/>
    <w:rsid w:val="00212FA5"/>
    <w:rsid w:val="00213397"/>
    <w:rsid w:val="002136EA"/>
    <w:rsid w:val="0021378F"/>
    <w:rsid w:val="002149F9"/>
    <w:rsid w:val="00214A8A"/>
    <w:rsid w:val="00214B50"/>
    <w:rsid w:val="0021568A"/>
    <w:rsid w:val="00215AF4"/>
    <w:rsid w:val="00216839"/>
    <w:rsid w:val="0021743C"/>
    <w:rsid w:val="00217E25"/>
    <w:rsid w:val="002200D6"/>
    <w:rsid w:val="00220593"/>
    <w:rsid w:val="00220926"/>
    <w:rsid w:val="00220999"/>
    <w:rsid w:val="00220B81"/>
    <w:rsid w:val="0022225D"/>
    <w:rsid w:val="002227B7"/>
    <w:rsid w:val="002227EF"/>
    <w:rsid w:val="00222F46"/>
    <w:rsid w:val="00223233"/>
    <w:rsid w:val="002238C9"/>
    <w:rsid w:val="00223A82"/>
    <w:rsid w:val="00223B53"/>
    <w:rsid w:val="002243E8"/>
    <w:rsid w:val="00224908"/>
    <w:rsid w:val="002250E9"/>
    <w:rsid w:val="00225C7C"/>
    <w:rsid w:val="0022693F"/>
    <w:rsid w:val="00226CE0"/>
    <w:rsid w:val="00230403"/>
    <w:rsid w:val="00230A2B"/>
    <w:rsid w:val="002315AE"/>
    <w:rsid w:val="002315ED"/>
    <w:rsid w:val="0023163A"/>
    <w:rsid w:val="002317B9"/>
    <w:rsid w:val="00232BBE"/>
    <w:rsid w:val="002337C7"/>
    <w:rsid w:val="002340E5"/>
    <w:rsid w:val="00234973"/>
    <w:rsid w:val="002355DA"/>
    <w:rsid w:val="00236B24"/>
    <w:rsid w:val="002370D4"/>
    <w:rsid w:val="00237635"/>
    <w:rsid w:val="00237942"/>
    <w:rsid w:val="00240038"/>
    <w:rsid w:val="002405B7"/>
    <w:rsid w:val="0024089E"/>
    <w:rsid w:val="00240EB5"/>
    <w:rsid w:val="002413B5"/>
    <w:rsid w:val="002415D1"/>
    <w:rsid w:val="00241792"/>
    <w:rsid w:val="00242110"/>
    <w:rsid w:val="002428FF"/>
    <w:rsid w:val="00243093"/>
    <w:rsid w:val="002432B5"/>
    <w:rsid w:val="00243304"/>
    <w:rsid w:val="00243662"/>
    <w:rsid w:val="00244342"/>
    <w:rsid w:val="00244650"/>
    <w:rsid w:val="00244689"/>
    <w:rsid w:val="00244A5D"/>
    <w:rsid w:val="00245370"/>
    <w:rsid w:val="00245943"/>
    <w:rsid w:val="00246A76"/>
    <w:rsid w:val="00246EF3"/>
    <w:rsid w:val="00247AC8"/>
    <w:rsid w:val="00250C0F"/>
    <w:rsid w:val="00250FAF"/>
    <w:rsid w:val="00251219"/>
    <w:rsid w:val="00251864"/>
    <w:rsid w:val="00251CD9"/>
    <w:rsid w:val="00251D6A"/>
    <w:rsid w:val="002525A1"/>
    <w:rsid w:val="00252612"/>
    <w:rsid w:val="00252ED3"/>
    <w:rsid w:val="0025304F"/>
    <w:rsid w:val="002533D1"/>
    <w:rsid w:val="00253D7E"/>
    <w:rsid w:val="00253D9A"/>
    <w:rsid w:val="00253EE0"/>
    <w:rsid w:val="00254144"/>
    <w:rsid w:val="00254CD9"/>
    <w:rsid w:val="00254F34"/>
    <w:rsid w:val="002550C3"/>
    <w:rsid w:val="002553EB"/>
    <w:rsid w:val="0025541E"/>
    <w:rsid w:val="00256702"/>
    <w:rsid w:val="00256898"/>
    <w:rsid w:val="00256ADD"/>
    <w:rsid w:val="002570AB"/>
    <w:rsid w:val="00257343"/>
    <w:rsid w:val="0025794E"/>
    <w:rsid w:val="00257C94"/>
    <w:rsid w:val="00257D9E"/>
    <w:rsid w:val="00257FC6"/>
    <w:rsid w:val="00260063"/>
    <w:rsid w:val="00260B64"/>
    <w:rsid w:val="0026173F"/>
    <w:rsid w:val="0026220B"/>
    <w:rsid w:val="0026311D"/>
    <w:rsid w:val="002633FE"/>
    <w:rsid w:val="002636F5"/>
    <w:rsid w:val="002639B9"/>
    <w:rsid w:val="00263B0F"/>
    <w:rsid w:val="00264157"/>
    <w:rsid w:val="0026470E"/>
    <w:rsid w:val="00264AA9"/>
    <w:rsid w:val="00267171"/>
    <w:rsid w:val="0026734F"/>
    <w:rsid w:val="0027025E"/>
    <w:rsid w:val="00270618"/>
    <w:rsid w:val="00270AF9"/>
    <w:rsid w:val="00270B74"/>
    <w:rsid w:val="00270D07"/>
    <w:rsid w:val="00270D57"/>
    <w:rsid w:val="0027105D"/>
    <w:rsid w:val="0027203C"/>
    <w:rsid w:val="0027224E"/>
    <w:rsid w:val="00272393"/>
    <w:rsid w:val="00272F46"/>
    <w:rsid w:val="00273FC0"/>
    <w:rsid w:val="002740AE"/>
    <w:rsid w:val="00274536"/>
    <w:rsid w:val="002746B1"/>
    <w:rsid w:val="00274EFB"/>
    <w:rsid w:val="00274F4E"/>
    <w:rsid w:val="002753B5"/>
    <w:rsid w:val="00275EB0"/>
    <w:rsid w:val="00276288"/>
    <w:rsid w:val="002768DF"/>
    <w:rsid w:val="00276971"/>
    <w:rsid w:val="00276B26"/>
    <w:rsid w:val="002770E1"/>
    <w:rsid w:val="00277855"/>
    <w:rsid w:val="00277C95"/>
    <w:rsid w:val="00277EEB"/>
    <w:rsid w:val="002806FF"/>
    <w:rsid w:val="0028191D"/>
    <w:rsid w:val="0028226F"/>
    <w:rsid w:val="00282505"/>
    <w:rsid w:val="002825F6"/>
    <w:rsid w:val="00283CB6"/>
    <w:rsid w:val="00284796"/>
    <w:rsid w:val="002858D3"/>
    <w:rsid w:val="00285F0C"/>
    <w:rsid w:val="002860C5"/>
    <w:rsid w:val="00286563"/>
    <w:rsid w:val="002866C8"/>
    <w:rsid w:val="0028671D"/>
    <w:rsid w:val="002873E6"/>
    <w:rsid w:val="0028741A"/>
    <w:rsid w:val="00287765"/>
    <w:rsid w:val="00287803"/>
    <w:rsid w:val="002907AA"/>
    <w:rsid w:val="00290D7A"/>
    <w:rsid w:val="00290FFF"/>
    <w:rsid w:val="002918E6"/>
    <w:rsid w:val="002919E4"/>
    <w:rsid w:val="00291FBB"/>
    <w:rsid w:val="00292E26"/>
    <w:rsid w:val="0029443F"/>
    <w:rsid w:val="00294F38"/>
    <w:rsid w:val="002954A7"/>
    <w:rsid w:val="00295773"/>
    <w:rsid w:val="002959E8"/>
    <w:rsid w:val="00296849"/>
    <w:rsid w:val="002969E4"/>
    <w:rsid w:val="00296F9C"/>
    <w:rsid w:val="002974C6"/>
    <w:rsid w:val="00297CC6"/>
    <w:rsid w:val="00297FF4"/>
    <w:rsid w:val="002A005B"/>
    <w:rsid w:val="002A0879"/>
    <w:rsid w:val="002A0D83"/>
    <w:rsid w:val="002A111E"/>
    <w:rsid w:val="002A1531"/>
    <w:rsid w:val="002A2154"/>
    <w:rsid w:val="002A2276"/>
    <w:rsid w:val="002A254E"/>
    <w:rsid w:val="002A2769"/>
    <w:rsid w:val="002A312B"/>
    <w:rsid w:val="002A3AAE"/>
    <w:rsid w:val="002A47E9"/>
    <w:rsid w:val="002A4971"/>
    <w:rsid w:val="002A4EDF"/>
    <w:rsid w:val="002A64A9"/>
    <w:rsid w:val="002A64C5"/>
    <w:rsid w:val="002A6AD0"/>
    <w:rsid w:val="002A6ADD"/>
    <w:rsid w:val="002A71CB"/>
    <w:rsid w:val="002A7828"/>
    <w:rsid w:val="002B00BB"/>
    <w:rsid w:val="002B0452"/>
    <w:rsid w:val="002B0FF4"/>
    <w:rsid w:val="002B1073"/>
    <w:rsid w:val="002B107A"/>
    <w:rsid w:val="002B181E"/>
    <w:rsid w:val="002B1971"/>
    <w:rsid w:val="002B1DAB"/>
    <w:rsid w:val="002B1DD6"/>
    <w:rsid w:val="002B2114"/>
    <w:rsid w:val="002B252D"/>
    <w:rsid w:val="002B260C"/>
    <w:rsid w:val="002B2751"/>
    <w:rsid w:val="002B289D"/>
    <w:rsid w:val="002B3436"/>
    <w:rsid w:val="002B34AB"/>
    <w:rsid w:val="002B3746"/>
    <w:rsid w:val="002B416D"/>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1F16"/>
    <w:rsid w:val="002C20E8"/>
    <w:rsid w:val="002C22FC"/>
    <w:rsid w:val="002C2766"/>
    <w:rsid w:val="002C2F29"/>
    <w:rsid w:val="002C35E9"/>
    <w:rsid w:val="002C3AB8"/>
    <w:rsid w:val="002C42D1"/>
    <w:rsid w:val="002C4B52"/>
    <w:rsid w:val="002C508C"/>
    <w:rsid w:val="002C5490"/>
    <w:rsid w:val="002C56C2"/>
    <w:rsid w:val="002C5958"/>
    <w:rsid w:val="002C5A1D"/>
    <w:rsid w:val="002C6A90"/>
    <w:rsid w:val="002C6AE9"/>
    <w:rsid w:val="002C72AD"/>
    <w:rsid w:val="002D09ED"/>
    <w:rsid w:val="002D0D29"/>
    <w:rsid w:val="002D10CA"/>
    <w:rsid w:val="002D16FA"/>
    <w:rsid w:val="002D1D15"/>
    <w:rsid w:val="002D1D36"/>
    <w:rsid w:val="002D2171"/>
    <w:rsid w:val="002D22F6"/>
    <w:rsid w:val="002D3033"/>
    <w:rsid w:val="002D3119"/>
    <w:rsid w:val="002D3149"/>
    <w:rsid w:val="002D315E"/>
    <w:rsid w:val="002D3249"/>
    <w:rsid w:val="002D3325"/>
    <w:rsid w:val="002D348F"/>
    <w:rsid w:val="002D36FB"/>
    <w:rsid w:val="002D4084"/>
    <w:rsid w:val="002D435F"/>
    <w:rsid w:val="002D4500"/>
    <w:rsid w:val="002D5158"/>
    <w:rsid w:val="002D60E8"/>
    <w:rsid w:val="002D62F9"/>
    <w:rsid w:val="002D7431"/>
    <w:rsid w:val="002D76A3"/>
    <w:rsid w:val="002E01ED"/>
    <w:rsid w:val="002E126D"/>
    <w:rsid w:val="002E173A"/>
    <w:rsid w:val="002E1D8A"/>
    <w:rsid w:val="002E2C91"/>
    <w:rsid w:val="002E3423"/>
    <w:rsid w:val="002E3517"/>
    <w:rsid w:val="002E4D4C"/>
    <w:rsid w:val="002E4EFF"/>
    <w:rsid w:val="002E51AD"/>
    <w:rsid w:val="002E6E84"/>
    <w:rsid w:val="002E7016"/>
    <w:rsid w:val="002E7A2B"/>
    <w:rsid w:val="002E7C2E"/>
    <w:rsid w:val="002E7D0A"/>
    <w:rsid w:val="002E7DE4"/>
    <w:rsid w:val="002F049E"/>
    <w:rsid w:val="002F06A4"/>
    <w:rsid w:val="002F0B51"/>
    <w:rsid w:val="002F0E49"/>
    <w:rsid w:val="002F0F03"/>
    <w:rsid w:val="002F1006"/>
    <w:rsid w:val="002F10DB"/>
    <w:rsid w:val="002F10F5"/>
    <w:rsid w:val="002F1445"/>
    <w:rsid w:val="002F18A2"/>
    <w:rsid w:val="002F19E3"/>
    <w:rsid w:val="002F1B69"/>
    <w:rsid w:val="002F1DE6"/>
    <w:rsid w:val="002F35B3"/>
    <w:rsid w:val="002F36AF"/>
    <w:rsid w:val="002F3946"/>
    <w:rsid w:val="002F3E68"/>
    <w:rsid w:val="002F4394"/>
    <w:rsid w:val="002F4B85"/>
    <w:rsid w:val="002F5419"/>
    <w:rsid w:val="002F5868"/>
    <w:rsid w:val="002F5B57"/>
    <w:rsid w:val="002F5D58"/>
    <w:rsid w:val="002F640F"/>
    <w:rsid w:val="002F650A"/>
    <w:rsid w:val="002F676B"/>
    <w:rsid w:val="002F71BC"/>
    <w:rsid w:val="002F78D1"/>
    <w:rsid w:val="002F7EB1"/>
    <w:rsid w:val="00300530"/>
    <w:rsid w:val="00300A79"/>
    <w:rsid w:val="00300B5B"/>
    <w:rsid w:val="00300BF6"/>
    <w:rsid w:val="00300F34"/>
    <w:rsid w:val="0030119F"/>
    <w:rsid w:val="003011A0"/>
    <w:rsid w:val="00301224"/>
    <w:rsid w:val="00301377"/>
    <w:rsid w:val="0030167F"/>
    <w:rsid w:val="003016ED"/>
    <w:rsid w:val="00301A77"/>
    <w:rsid w:val="00302338"/>
    <w:rsid w:val="00302835"/>
    <w:rsid w:val="00302FE1"/>
    <w:rsid w:val="00303ADA"/>
    <w:rsid w:val="00303F74"/>
    <w:rsid w:val="00304251"/>
    <w:rsid w:val="00304663"/>
    <w:rsid w:val="003049E0"/>
    <w:rsid w:val="003054D1"/>
    <w:rsid w:val="003054E4"/>
    <w:rsid w:val="00305606"/>
    <w:rsid w:val="00305E46"/>
    <w:rsid w:val="00306037"/>
    <w:rsid w:val="00306227"/>
    <w:rsid w:val="003062CF"/>
    <w:rsid w:val="003072CE"/>
    <w:rsid w:val="00307483"/>
    <w:rsid w:val="00307613"/>
    <w:rsid w:val="00307DEF"/>
    <w:rsid w:val="00310607"/>
    <w:rsid w:val="003109CF"/>
    <w:rsid w:val="00310DEB"/>
    <w:rsid w:val="00310F7C"/>
    <w:rsid w:val="00311886"/>
    <w:rsid w:val="00311C22"/>
    <w:rsid w:val="00312F88"/>
    <w:rsid w:val="003132E9"/>
    <w:rsid w:val="003135F1"/>
    <w:rsid w:val="00313A5A"/>
    <w:rsid w:val="00313B09"/>
    <w:rsid w:val="003142FB"/>
    <w:rsid w:val="00314666"/>
    <w:rsid w:val="00314948"/>
    <w:rsid w:val="00314A47"/>
    <w:rsid w:val="003155B4"/>
    <w:rsid w:val="00315678"/>
    <w:rsid w:val="00315EAB"/>
    <w:rsid w:val="003160CB"/>
    <w:rsid w:val="0031632D"/>
    <w:rsid w:val="003168FA"/>
    <w:rsid w:val="00317881"/>
    <w:rsid w:val="00320443"/>
    <w:rsid w:val="00320E12"/>
    <w:rsid w:val="00321981"/>
    <w:rsid w:val="0032200D"/>
    <w:rsid w:val="0032285E"/>
    <w:rsid w:val="00322B49"/>
    <w:rsid w:val="00322D6F"/>
    <w:rsid w:val="003230C1"/>
    <w:rsid w:val="00323DAE"/>
    <w:rsid w:val="00324184"/>
    <w:rsid w:val="003243C1"/>
    <w:rsid w:val="00324C42"/>
    <w:rsid w:val="00324DEC"/>
    <w:rsid w:val="003250BD"/>
    <w:rsid w:val="0032575C"/>
    <w:rsid w:val="00325D02"/>
    <w:rsid w:val="00326293"/>
    <w:rsid w:val="00326B01"/>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59CA"/>
    <w:rsid w:val="003366D5"/>
    <w:rsid w:val="00336735"/>
    <w:rsid w:val="00337030"/>
    <w:rsid w:val="00337603"/>
    <w:rsid w:val="00337BBA"/>
    <w:rsid w:val="00337C96"/>
    <w:rsid w:val="00340CE9"/>
    <w:rsid w:val="00341815"/>
    <w:rsid w:val="0034213F"/>
    <w:rsid w:val="003423A5"/>
    <w:rsid w:val="0034261A"/>
    <w:rsid w:val="003428FC"/>
    <w:rsid w:val="00342B93"/>
    <w:rsid w:val="003431E9"/>
    <w:rsid w:val="003439C3"/>
    <w:rsid w:val="00343B5F"/>
    <w:rsid w:val="003442B7"/>
    <w:rsid w:val="00344DF5"/>
    <w:rsid w:val="00345178"/>
    <w:rsid w:val="003453E5"/>
    <w:rsid w:val="00345543"/>
    <w:rsid w:val="00345B8F"/>
    <w:rsid w:val="003463F4"/>
    <w:rsid w:val="003464AF"/>
    <w:rsid w:val="0034672B"/>
    <w:rsid w:val="00347911"/>
    <w:rsid w:val="00347F5F"/>
    <w:rsid w:val="003505C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D8B"/>
    <w:rsid w:val="00357EA2"/>
    <w:rsid w:val="00357F18"/>
    <w:rsid w:val="003616BA"/>
    <w:rsid w:val="00361C1C"/>
    <w:rsid w:val="00362B2C"/>
    <w:rsid w:val="00362C35"/>
    <w:rsid w:val="003633AD"/>
    <w:rsid w:val="00363525"/>
    <w:rsid w:val="00363591"/>
    <w:rsid w:val="00363D16"/>
    <w:rsid w:val="00363E8B"/>
    <w:rsid w:val="00364A2B"/>
    <w:rsid w:val="00364C1C"/>
    <w:rsid w:val="00364D3C"/>
    <w:rsid w:val="00364F1B"/>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A0C"/>
    <w:rsid w:val="00373D98"/>
    <w:rsid w:val="0037405B"/>
    <w:rsid w:val="0037524C"/>
    <w:rsid w:val="00376A04"/>
    <w:rsid w:val="0037757E"/>
    <w:rsid w:val="003779E6"/>
    <w:rsid w:val="003800C2"/>
    <w:rsid w:val="00380238"/>
    <w:rsid w:val="00380405"/>
    <w:rsid w:val="0038119E"/>
    <w:rsid w:val="0038167B"/>
    <w:rsid w:val="00381ADC"/>
    <w:rsid w:val="00382CDA"/>
    <w:rsid w:val="00382E70"/>
    <w:rsid w:val="003836DC"/>
    <w:rsid w:val="00383B18"/>
    <w:rsid w:val="00383E62"/>
    <w:rsid w:val="003842D4"/>
    <w:rsid w:val="003844B1"/>
    <w:rsid w:val="00385A4E"/>
    <w:rsid w:val="00385FC4"/>
    <w:rsid w:val="00386132"/>
    <w:rsid w:val="0038644A"/>
    <w:rsid w:val="003865A2"/>
    <w:rsid w:val="00386AFD"/>
    <w:rsid w:val="00386D76"/>
    <w:rsid w:val="003873A0"/>
    <w:rsid w:val="00387A2B"/>
    <w:rsid w:val="00387ECF"/>
    <w:rsid w:val="0039002C"/>
    <w:rsid w:val="003907CC"/>
    <w:rsid w:val="00390D1D"/>
    <w:rsid w:val="00391333"/>
    <w:rsid w:val="00391D4D"/>
    <w:rsid w:val="00392486"/>
    <w:rsid w:val="00392B6C"/>
    <w:rsid w:val="00392B8C"/>
    <w:rsid w:val="0039300F"/>
    <w:rsid w:val="00393A4A"/>
    <w:rsid w:val="00394836"/>
    <w:rsid w:val="00394A33"/>
    <w:rsid w:val="003951F4"/>
    <w:rsid w:val="003959B5"/>
    <w:rsid w:val="00396621"/>
    <w:rsid w:val="0039667D"/>
    <w:rsid w:val="00396E3E"/>
    <w:rsid w:val="00397290"/>
    <w:rsid w:val="0039776B"/>
    <w:rsid w:val="00397774"/>
    <w:rsid w:val="0039783A"/>
    <w:rsid w:val="0039784C"/>
    <w:rsid w:val="00397A74"/>
    <w:rsid w:val="003A045B"/>
    <w:rsid w:val="003A06D4"/>
    <w:rsid w:val="003A07FB"/>
    <w:rsid w:val="003A0875"/>
    <w:rsid w:val="003A0BA7"/>
    <w:rsid w:val="003A0E47"/>
    <w:rsid w:val="003A139D"/>
    <w:rsid w:val="003A1B94"/>
    <w:rsid w:val="003A1E64"/>
    <w:rsid w:val="003A26BC"/>
    <w:rsid w:val="003A346D"/>
    <w:rsid w:val="003A5105"/>
    <w:rsid w:val="003A5CAD"/>
    <w:rsid w:val="003A6053"/>
    <w:rsid w:val="003A622C"/>
    <w:rsid w:val="003A6387"/>
    <w:rsid w:val="003A663F"/>
    <w:rsid w:val="003A6F6D"/>
    <w:rsid w:val="003A7664"/>
    <w:rsid w:val="003A7AB9"/>
    <w:rsid w:val="003A7AD3"/>
    <w:rsid w:val="003B026F"/>
    <w:rsid w:val="003B0302"/>
    <w:rsid w:val="003B039C"/>
    <w:rsid w:val="003B0953"/>
    <w:rsid w:val="003B0F05"/>
    <w:rsid w:val="003B1A82"/>
    <w:rsid w:val="003B2547"/>
    <w:rsid w:val="003B271C"/>
    <w:rsid w:val="003B2B51"/>
    <w:rsid w:val="003B2D97"/>
    <w:rsid w:val="003B2E6E"/>
    <w:rsid w:val="003B301C"/>
    <w:rsid w:val="003B3865"/>
    <w:rsid w:val="003B3D84"/>
    <w:rsid w:val="003B42B9"/>
    <w:rsid w:val="003B4E24"/>
    <w:rsid w:val="003B57F0"/>
    <w:rsid w:val="003B7ABF"/>
    <w:rsid w:val="003B7E6D"/>
    <w:rsid w:val="003C01AC"/>
    <w:rsid w:val="003C0941"/>
    <w:rsid w:val="003C0C13"/>
    <w:rsid w:val="003C0FE6"/>
    <w:rsid w:val="003C1FD3"/>
    <w:rsid w:val="003C208A"/>
    <w:rsid w:val="003C2328"/>
    <w:rsid w:val="003C240A"/>
    <w:rsid w:val="003C25A0"/>
    <w:rsid w:val="003C2738"/>
    <w:rsid w:val="003C3015"/>
    <w:rsid w:val="003C3EE6"/>
    <w:rsid w:val="003C3F5E"/>
    <w:rsid w:val="003C45B9"/>
    <w:rsid w:val="003C4D8C"/>
    <w:rsid w:val="003C5F9D"/>
    <w:rsid w:val="003C74F5"/>
    <w:rsid w:val="003C7823"/>
    <w:rsid w:val="003D0086"/>
    <w:rsid w:val="003D1549"/>
    <w:rsid w:val="003D17BA"/>
    <w:rsid w:val="003D1CE2"/>
    <w:rsid w:val="003D1D86"/>
    <w:rsid w:val="003D1F09"/>
    <w:rsid w:val="003D290D"/>
    <w:rsid w:val="003D2CB7"/>
    <w:rsid w:val="003D37E6"/>
    <w:rsid w:val="003D3CFE"/>
    <w:rsid w:val="003D5A84"/>
    <w:rsid w:val="003D5E71"/>
    <w:rsid w:val="003D637A"/>
    <w:rsid w:val="003D6B62"/>
    <w:rsid w:val="003D6DCC"/>
    <w:rsid w:val="003D7393"/>
    <w:rsid w:val="003D74B2"/>
    <w:rsid w:val="003D7CEF"/>
    <w:rsid w:val="003D7E0F"/>
    <w:rsid w:val="003E0047"/>
    <w:rsid w:val="003E0886"/>
    <w:rsid w:val="003E1342"/>
    <w:rsid w:val="003E1B7C"/>
    <w:rsid w:val="003E1DB8"/>
    <w:rsid w:val="003E1E97"/>
    <w:rsid w:val="003E1EEE"/>
    <w:rsid w:val="003E1F71"/>
    <w:rsid w:val="003E2076"/>
    <w:rsid w:val="003E2243"/>
    <w:rsid w:val="003E228F"/>
    <w:rsid w:val="003E229E"/>
    <w:rsid w:val="003E28A4"/>
    <w:rsid w:val="003E2FB1"/>
    <w:rsid w:val="003E402E"/>
    <w:rsid w:val="003E45D3"/>
    <w:rsid w:val="003E5965"/>
    <w:rsid w:val="003E6557"/>
    <w:rsid w:val="003E753A"/>
    <w:rsid w:val="003E77E1"/>
    <w:rsid w:val="003F005C"/>
    <w:rsid w:val="003F043A"/>
    <w:rsid w:val="003F0743"/>
    <w:rsid w:val="003F0B02"/>
    <w:rsid w:val="003F0DBE"/>
    <w:rsid w:val="003F17AD"/>
    <w:rsid w:val="003F1D9E"/>
    <w:rsid w:val="003F2338"/>
    <w:rsid w:val="003F24D0"/>
    <w:rsid w:val="003F2E1D"/>
    <w:rsid w:val="003F34C5"/>
    <w:rsid w:val="003F4802"/>
    <w:rsid w:val="003F5224"/>
    <w:rsid w:val="003F58E9"/>
    <w:rsid w:val="003F5DBB"/>
    <w:rsid w:val="003F6CB8"/>
    <w:rsid w:val="00400AB9"/>
    <w:rsid w:val="00400C6C"/>
    <w:rsid w:val="00401438"/>
    <w:rsid w:val="00401991"/>
    <w:rsid w:val="00401D94"/>
    <w:rsid w:val="00401F69"/>
    <w:rsid w:val="004023AB"/>
    <w:rsid w:val="00402491"/>
    <w:rsid w:val="0040309E"/>
    <w:rsid w:val="004033CD"/>
    <w:rsid w:val="00403A15"/>
    <w:rsid w:val="00403E01"/>
    <w:rsid w:val="004045C6"/>
    <w:rsid w:val="00404989"/>
    <w:rsid w:val="004050A5"/>
    <w:rsid w:val="004056EF"/>
    <w:rsid w:val="00406289"/>
    <w:rsid w:val="00406588"/>
    <w:rsid w:val="0040685A"/>
    <w:rsid w:val="0040707B"/>
    <w:rsid w:val="0040771B"/>
    <w:rsid w:val="00407CC6"/>
    <w:rsid w:val="004101D3"/>
    <w:rsid w:val="004101FA"/>
    <w:rsid w:val="0041049E"/>
    <w:rsid w:val="00410CAB"/>
    <w:rsid w:val="00410E3F"/>
    <w:rsid w:val="00410E4B"/>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0CD4"/>
    <w:rsid w:val="0042107C"/>
    <w:rsid w:val="0042198D"/>
    <w:rsid w:val="00421E3F"/>
    <w:rsid w:val="00421EA5"/>
    <w:rsid w:val="00422784"/>
    <w:rsid w:val="00422844"/>
    <w:rsid w:val="004233D3"/>
    <w:rsid w:val="004246BC"/>
    <w:rsid w:val="00425A4F"/>
    <w:rsid w:val="0042676E"/>
    <w:rsid w:val="00426A7D"/>
    <w:rsid w:val="00427776"/>
    <w:rsid w:val="004306E3"/>
    <w:rsid w:val="00430A99"/>
    <w:rsid w:val="004314E6"/>
    <w:rsid w:val="00431742"/>
    <w:rsid w:val="00431FD7"/>
    <w:rsid w:val="0043223C"/>
    <w:rsid w:val="00432D39"/>
    <w:rsid w:val="00433038"/>
    <w:rsid w:val="004332E8"/>
    <w:rsid w:val="00433A69"/>
    <w:rsid w:val="004348EE"/>
    <w:rsid w:val="00434908"/>
    <w:rsid w:val="004350E2"/>
    <w:rsid w:val="00436D61"/>
    <w:rsid w:val="00436E5C"/>
    <w:rsid w:val="00437087"/>
    <w:rsid w:val="00437542"/>
    <w:rsid w:val="00437874"/>
    <w:rsid w:val="00437C4B"/>
    <w:rsid w:val="004405A9"/>
    <w:rsid w:val="00440C51"/>
    <w:rsid w:val="00440EAA"/>
    <w:rsid w:val="00442042"/>
    <w:rsid w:val="00442290"/>
    <w:rsid w:val="0044270A"/>
    <w:rsid w:val="00442B25"/>
    <w:rsid w:val="00442F46"/>
    <w:rsid w:val="00443DA6"/>
    <w:rsid w:val="004440D7"/>
    <w:rsid w:val="0044438E"/>
    <w:rsid w:val="00444793"/>
    <w:rsid w:val="00446349"/>
    <w:rsid w:val="00447628"/>
    <w:rsid w:val="00450186"/>
    <w:rsid w:val="004505D4"/>
    <w:rsid w:val="00451251"/>
    <w:rsid w:val="0045128A"/>
    <w:rsid w:val="004533A0"/>
    <w:rsid w:val="004535DB"/>
    <w:rsid w:val="00454A02"/>
    <w:rsid w:val="00454DB6"/>
    <w:rsid w:val="00454F8F"/>
    <w:rsid w:val="00455A3A"/>
    <w:rsid w:val="004564A3"/>
    <w:rsid w:val="004573C0"/>
    <w:rsid w:val="00457F24"/>
    <w:rsid w:val="0046056B"/>
    <w:rsid w:val="004612FF"/>
    <w:rsid w:val="004617C3"/>
    <w:rsid w:val="00461DC9"/>
    <w:rsid w:val="0046227B"/>
    <w:rsid w:val="0046231C"/>
    <w:rsid w:val="00462775"/>
    <w:rsid w:val="00462B27"/>
    <w:rsid w:val="00463115"/>
    <w:rsid w:val="0046323B"/>
    <w:rsid w:val="00463C46"/>
    <w:rsid w:val="00464938"/>
    <w:rsid w:val="0046506F"/>
    <w:rsid w:val="00465F59"/>
    <w:rsid w:val="00466073"/>
    <w:rsid w:val="004661C2"/>
    <w:rsid w:val="00466615"/>
    <w:rsid w:val="00466681"/>
    <w:rsid w:val="00466754"/>
    <w:rsid w:val="00466A41"/>
    <w:rsid w:val="00466F44"/>
    <w:rsid w:val="0046743C"/>
    <w:rsid w:val="00467C9D"/>
    <w:rsid w:val="00467DC5"/>
    <w:rsid w:val="0047018B"/>
    <w:rsid w:val="00470586"/>
    <w:rsid w:val="00470640"/>
    <w:rsid w:val="00471D82"/>
    <w:rsid w:val="00471E76"/>
    <w:rsid w:val="0047205F"/>
    <w:rsid w:val="004720AC"/>
    <w:rsid w:val="004729FD"/>
    <w:rsid w:val="00472C7F"/>
    <w:rsid w:val="00472FCB"/>
    <w:rsid w:val="00473415"/>
    <w:rsid w:val="0047353E"/>
    <w:rsid w:val="0047533B"/>
    <w:rsid w:val="00475354"/>
    <w:rsid w:val="00475A37"/>
    <w:rsid w:val="00475B08"/>
    <w:rsid w:val="004760DB"/>
    <w:rsid w:val="004774D9"/>
    <w:rsid w:val="00480703"/>
    <w:rsid w:val="00480828"/>
    <w:rsid w:val="004809A5"/>
    <w:rsid w:val="00480A81"/>
    <w:rsid w:val="00480E69"/>
    <w:rsid w:val="0048180B"/>
    <w:rsid w:val="00481CF9"/>
    <w:rsid w:val="00481F39"/>
    <w:rsid w:val="004820EC"/>
    <w:rsid w:val="00482466"/>
    <w:rsid w:val="004838F2"/>
    <w:rsid w:val="00483CC0"/>
    <w:rsid w:val="00484A65"/>
    <w:rsid w:val="00484F42"/>
    <w:rsid w:val="004857BC"/>
    <w:rsid w:val="00485FBD"/>
    <w:rsid w:val="00486053"/>
    <w:rsid w:val="004864E9"/>
    <w:rsid w:val="004865F6"/>
    <w:rsid w:val="00486BE5"/>
    <w:rsid w:val="00486D04"/>
    <w:rsid w:val="00487D67"/>
    <w:rsid w:val="00487E43"/>
    <w:rsid w:val="00490267"/>
    <w:rsid w:val="004904F3"/>
    <w:rsid w:val="004914A2"/>
    <w:rsid w:val="00491779"/>
    <w:rsid w:val="00491BC4"/>
    <w:rsid w:val="004922BE"/>
    <w:rsid w:val="00492D37"/>
    <w:rsid w:val="00492F63"/>
    <w:rsid w:val="0049356B"/>
    <w:rsid w:val="00493C3D"/>
    <w:rsid w:val="0049400E"/>
    <w:rsid w:val="00494016"/>
    <w:rsid w:val="004954D9"/>
    <w:rsid w:val="00495BA6"/>
    <w:rsid w:val="00495CED"/>
    <w:rsid w:val="00496D89"/>
    <w:rsid w:val="00497DBC"/>
    <w:rsid w:val="004A02E5"/>
    <w:rsid w:val="004A032B"/>
    <w:rsid w:val="004A18F1"/>
    <w:rsid w:val="004A1AAF"/>
    <w:rsid w:val="004A20D0"/>
    <w:rsid w:val="004A2831"/>
    <w:rsid w:val="004A2BD4"/>
    <w:rsid w:val="004A2D6A"/>
    <w:rsid w:val="004A2ED9"/>
    <w:rsid w:val="004A32F7"/>
    <w:rsid w:val="004A33D6"/>
    <w:rsid w:val="004A377D"/>
    <w:rsid w:val="004A38C3"/>
    <w:rsid w:val="004A3A4E"/>
    <w:rsid w:val="004A3FA9"/>
    <w:rsid w:val="004A4183"/>
    <w:rsid w:val="004A4338"/>
    <w:rsid w:val="004A495D"/>
    <w:rsid w:val="004A4C20"/>
    <w:rsid w:val="004A4C3F"/>
    <w:rsid w:val="004A4CAF"/>
    <w:rsid w:val="004A4D00"/>
    <w:rsid w:val="004A6742"/>
    <w:rsid w:val="004A773E"/>
    <w:rsid w:val="004A7B0B"/>
    <w:rsid w:val="004B019C"/>
    <w:rsid w:val="004B01C1"/>
    <w:rsid w:val="004B0A00"/>
    <w:rsid w:val="004B1C8C"/>
    <w:rsid w:val="004B37D8"/>
    <w:rsid w:val="004B3DDC"/>
    <w:rsid w:val="004B493A"/>
    <w:rsid w:val="004B5F09"/>
    <w:rsid w:val="004B6241"/>
    <w:rsid w:val="004B633D"/>
    <w:rsid w:val="004B665E"/>
    <w:rsid w:val="004B7D97"/>
    <w:rsid w:val="004C0028"/>
    <w:rsid w:val="004C07CE"/>
    <w:rsid w:val="004C15CF"/>
    <w:rsid w:val="004C15F8"/>
    <w:rsid w:val="004C1603"/>
    <w:rsid w:val="004C1678"/>
    <w:rsid w:val="004C22D3"/>
    <w:rsid w:val="004C23BC"/>
    <w:rsid w:val="004C295C"/>
    <w:rsid w:val="004C3143"/>
    <w:rsid w:val="004C4590"/>
    <w:rsid w:val="004C4787"/>
    <w:rsid w:val="004C52DE"/>
    <w:rsid w:val="004C57A0"/>
    <w:rsid w:val="004C57E7"/>
    <w:rsid w:val="004C5B64"/>
    <w:rsid w:val="004C6FE6"/>
    <w:rsid w:val="004C73DB"/>
    <w:rsid w:val="004D032A"/>
    <w:rsid w:val="004D0667"/>
    <w:rsid w:val="004D074E"/>
    <w:rsid w:val="004D0786"/>
    <w:rsid w:val="004D11D3"/>
    <w:rsid w:val="004D1314"/>
    <w:rsid w:val="004D1377"/>
    <w:rsid w:val="004D170E"/>
    <w:rsid w:val="004D1771"/>
    <w:rsid w:val="004D1B12"/>
    <w:rsid w:val="004D29E5"/>
    <w:rsid w:val="004D3DF1"/>
    <w:rsid w:val="004D418F"/>
    <w:rsid w:val="004D41F0"/>
    <w:rsid w:val="004D4479"/>
    <w:rsid w:val="004D49C5"/>
    <w:rsid w:val="004D5317"/>
    <w:rsid w:val="004D57AC"/>
    <w:rsid w:val="004D5A14"/>
    <w:rsid w:val="004D5F50"/>
    <w:rsid w:val="004D745D"/>
    <w:rsid w:val="004D75D4"/>
    <w:rsid w:val="004E00E6"/>
    <w:rsid w:val="004E0148"/>
    <w:rsid w:val="004E0EF9"/>
    <w:rsid w:val="004E14FD"/>
    <w:rsid w:val="004E1556"/>
    <w:rsid w:val="004E1C73"/>
    <w:rsid w:val="004E1F0D"/>
    <w:rsid w:val="004E2221"/>
    <w:rsid w:val="004E30D9"/>
    <w:rsid w:val="004E38C2"/>
    <w:rsid w:val="004E3E6F"/>
    <w:rsid w:val="004E3ECE"/>
    <w:rsid w:val="004E4118"/>
    <w:rsid w:val="004E473D"/>
    <w:rsid w:val="004E4A58"/>
    <w:rsid w:val="004E4B26"/>
    <w:rsid w:val="004E4DF0"/>
    <w:rsid w:val="004E57A7"/>
    <w:rsid w:val="004E5F54"/>
    <w:rsid w:val="004E5F72"/>
    <w:rsid w:val="004E62DA"/>
    <w:rsid w:val="004E680F"/>
    <w:rsid w:val="004E6E32"/>
    <w:rsid w:val="004E7325"/>
    <w:rsid w:val="004E751E"/>
    <w:rsid w:val="004E7546"/>
    <w:rsid w:val="004E7ECB"/>
    <w:rsid w:val="004F076D"/>
    <w:rsid w:val="004F0EEB"/>
    <w:rsid w:val="004F15B6"/>
    <w:rsid w:val="004F1DAB"/>
    <w:rsid w:val="004F3ACC"/>
    <w:rsid w:val="004F3F02"/>
    <w:rsid w:val="004F5900"/>
    <w:rsid w:val="004F658F"/>
    <w:rsid w:val="004F7278"/>
    <w:rsid w:val="00500915"/>
    <w:rsid w:val="0050105E"/>
    <w:rsid w:val="005012E6"/>
    <w:rsid w:val="00501657"/>
    <w:rsid w:val="0050165B"/>
    <w:rsid w:val="00501A1E"/>
    <w:rsid w:val="005028A6"/>
    <w:rsid w:val="005032C5"/>
    <w:rsid w:val="005037C5"/>
    <w:rsid w:val="00503F28"/>
    <w:rsid w:val="00504031"/>
    <w:rsid w:val="005041DB"/>
    <w:rsid w:val="0050533B"/>
    <w:rsid w:val="00505919"/>
    <w:rsid w:val="00505B9A"/>
    <w:rsid w:val="005062DF"/>
    <w:rsid w:val="0050653B"/>
    <w:rsid w:val="00510379"/>
    <w:rsid w:val="005108CF"/>
    <w:rsid w:val="005113CF"/>
    <w:rsid w:val="00511A20"/>
    <w:rsid w:val="00512D66"/>
    <w:rsid w:val="00512E30"/>
    <w:rsid w:val="00513EFB"/>
    <w:rsid w:val="00513FF8"/>
    <w:rsid w:val="00514B79"/>
    <w:rsid w:val="00515245"/>
    <w:rsid w:val="00515780"/>
    <w:rsid w:val="0051697F"/>
    <w:rsid w:val="0051723A"/>
    <w:rsid w:val="00517655"/>
    <w:rsid w:val="005179C1"/>
    <w:rsid w:val="00520778"/>
    <w:rsid w:val="00520C10"/>
    <w:rsid w:val="005214FB"/>
    <w:rsid w:val="00521AF0"/>
    <w:rsid w:val="00521C1F"/>
    <w:rsid w:val="0052300C"/>
    <w:rsid w:val="005230A0"/>
    <w:rsid w:val="0052450D"/>
    <w:rsid w:val="00524DA8"/>
    <w:rsid w:val="005252CA"/>
    <w:rsid w:val="005253F0"/>
    <w:rsid w:val="0052541D"/>
    <w:rsid w:val="005258CA"/>
    <w:rsid w:val="005259CE"/>
    <w:rsid w:val="00525C15"/>
    <w:rsid w:val="00525FEB"/>
    <w:rsid w:val="0052601F"/>
    <w:rsid w:val="00526B49"/>
    <w:rsid w:val="00527377"/>
    <w:rsid w:val="005278F7"/>
    <w:rsid w:val="00527ACE"/>
    <w:rsid w:val="00527E40"/>
    <w:rsid w:val="00527E9A"/>
    <w:rsid w:val="0053028B"/>
    <w:rsid w:val="005304DB"/>
    <w:rsid w:val="005311E4"/>
    <w:rsid w:val="00531220"/>
    <w:rsid w:val="0053132D"/>
    <w:rsid w:val="00531480"/>
    <w:rsid w:val="00532466"/>
    <w:rsid w:val="00533D93"/>
    <w:rsid w:val="00533F47"/>
    <w:rsid w:val="00534302"/>
    <w:rsid w:val="005346DC"/>
    <w:rsid w:val="005356CF"/>
    <w:rsid w:val="00535867"/>
    <w:rsid w:val="00536AF4"/>
    <w:rsid w:val="00536CE2"/>
    <w:rsid w:val="0053717B"/>
    <w:rsid w:val="0053770B"/>
    <w:rsid w:val="005409D9"/>
    <w:rsid w:val="005418D2"/>
    <w:rsid w:val="00542118"/>
    <w:rsid w:val="005426DD"/>
    <w:rsid w:val="00542B68"/>
    <w:rsid w:val="00542D7A"/>
    <w:rsid w:val="00543B11"/>
    <w:rsid w:val="00543CBE"/>
    <w:rsid w:val="005456B9"/>
    <w:rsid w:val="00545875"/>
    <w:rsid w:val="00545EE2"/>
    <w:rsid w:val="00545F4E"/>
    <w:rsid w:val="00547BAB"/>
    <w:rsid w:val="00550103"/>
    <w:rsid w:val="00550637"/>
    <w:rsid w:val="00550990"/>
    <w:rsid w:val="00550D5F"/>
    <w:rsid w:val="00550DE3"/>
    <w:rsid w:val="00550E82"/>
    <w:rsid w:val="00551FBB"/>
    <w:rsid w:val="005525AB"/>
    <w:rsid w:val="0055367F"/>
    <w:rsid w:val="005537F1"/>
    <w:rsid w:val="005551FC"/>
    <w:rsid w:val="0055553C"/>
    <w:rsid w:val="00555FC0"/>
    <w:rsid w:val="0055602C"/>
    <w:rsid w:val="00556113"/>
    <w:rsid w:val="0055667E"/>
    <w:rsid w:val="00557226"/>
    <w:rsid w:val="005573D0"/>
    <w:rsid w:val="005579D9"/>
    <w:rsid w:val="005606ED"/>
    <w:rsid w:val="00560C45"/>
    <w:rsid w:val="00560E78"/>
    <w:rsid w:val="00560ED0"/>
    <w:rsid w:val="00562105"/>
    <w:rsid w:val="00562694"/>
    <w:rsid w:val="00564147"/>
    <w:rsid w:val="00564809"/>
    <w:rsid w:val="005659C4"/>
    <w:rsid w:val="00566756"/>
    <w:rsid w:val="005672B1"/>
    <w:rsid w:val="005673C9"/>
    <w:rsid w:val="00567D6C"/>
    <w:rsid w:val="00567FA5"/>
    <w:rsid w:val="00570594"/>
    <w:rsid w:val="0057061E"/>
    <w:rsid w:val="005707D4"/>
    <w:rsid w:val="00570C75"/>
    <w:rsid w:val="00570FEA"/>
    <w:rsid w:val="0057128A"/>
    <w:rsid w:val="0057198B"/>
    <w:rsid w:val="00571AA1"/>
    <w:rsid w:val="00572982"/>
    <w:rsid w:val="00572C62"/>
    <w:rsid w:val="00572F04"/>
    <w:rsid w:val="00573260"/>
    <w:rsid w:val="00573971"/>
    <w:rsid w:val="00573D82"/>
    <w:rsid w:val="00573DED"/>
    <w:rsid w:val="00575090"/>
    <w:rsid w:val="00575212"/>
    <w:rsid w:val="00575F79"/>
    <w:rsid w:val="0057632C"/>
    <w:rsid w:val="00576606"/>
    <w:rsid w:val="00576B1E"/>
    <w:rsid w:val="00576E21"/>
    <w:rsid w:val="005773FA"/>
    <w:rsid w:val="005774A4"/>
    <w:rsid w:val="00577699"/>
    <w:rsid w:val="00577EBA"/>
    <w:rsid w:val="00577FA2"/>
    <w:rsid w:val="00580928"/>
    <w:rsid w:val="00580AAB"/>
    <w:rsid w:val="00580AF3"/>
    <w:rsid w:val="00580BB8"/>
    <w:rsid w:val="00581960"/>
    <w:rsid w:val="00582B88"/>
    <w:rsid w:val="00582D24"/>
    <w:rsid w:val="00582FF1"/>
    <w:rsid w:val="00583864"/>
    <w:rsid w:val="00583B51"/>
    <w:rsid w:val="00583E1C"/>
    <w:rsid w:val="00584544"/>
    <w:rsid w:val="00584BE7"/>
    <w:rsid w:val="00584F14"/>
    <w:rsid w:val="00584FD0"/>
    <w:rsid w:val="00585219"/>
    <w:rsid w:val="005853F1"/>
    <w:rsid w:val="0058593A"/>
    <w:rsid w:val="005860EB"/>
    <w:rsid w:val="005870F2"/>
    <w:rsid w:val="0058780F"/>
    <w:rsid w:val="00587DEB"/>
    <w:rsid w:val="005906EF"/>
    <w:rsid w:val="00590C78"/>
    <w:rsid w:val="0059149C"/>
    <w:rsid w:val="00591BFF"/>
    <w:rsid w:val="00591DCD"/>
    <w:rsid w:val="005922CC"/>
    <w:rsid w:val="005924D3"/>
    <w:rsid w:val="0059357D"/>
    <w:rsid w:val="00593833"/>
    <w:rsid w:val="00593857"/>
    <w:rsid w:val="00593B60"/>
    <w:rsid w:val="0059469C"/>
    <w:rsid w:val="005947DB"/>
    <w:rsid w:val="00595653"/>
    <w:rsid w:val="00595B23"/>
    <w:rsid w:val="00595F30"/>
    <w:rsid w:val="005960C0"/>
    <w:rsid w:val="005963E4"/>
    <w:rsid w:val="0059668C"/>
    <w:rsid w:val="00596B34"/>
    <w:rsid w:val="005974BB"/>
    <w:rsid w:val="00597BFF"/>
    <w:rsid w:val="00597F74"/>
    <w:rsid w:val="00597F78"/>
    <w:rsid w:val="005A018A"/>
    <w:rsid w:val="005A0589"/>
    <w:rsid w:val="005A0907"/>
    <w:rsid w:val="005A0BB9"/>
    <w:rsid w:val="005A10C1"/>
    <w:rsid w:val="005A1548"/>
    <w:rsid w:val="005A3913"/>
    <w:rsid w:val="005A3C0E"/>
    <w:rsid w:val="005A445E"/>
    <w:rsid w:val="005A4C1C"/>
    <w:rsid w:val="005A4D8F"/>
    <w:rsid w:val="005A5C54"/>
    <w:rsid w:val="005A5DE3"/>
    <w:rsid w:val="005A5F05"/>
    <w:rsid w:val="005A6449"/>
    <w:rsid w:val="005A6A79"/>
    <w:rsid w:val="005A7182"/>
    <w:rsid w:val="005A7CCA"/>
    <w:rsid w:val="005A7CE7"/>
    <w:rsid w:val="005B0467"/>
    <w:rsid w:val="005B08BB"/>
    <w:rsid w:val="005B0E2D"/>
    <w:rsid w:val="005B143E"/>
    <w:rsid w:val="005B1FF4"/>
    <w:rsid w:val="005B27D2"/>
    <w:rsid w:val="005B2D56"/>
    <w:rsid w:val="005B2E06"/>
    <w:rsid w:val="005B35E6"/>
    <w:rsid w:val="005B40E7"/>
    <w:rsid w:val="005B479B"/>
    <w:rsid w:val="005B56CA"/>
    <w:rsid w:val="005B7594"/>
    <w:rsid w:val="005B7680"/>
    <w:rsid w:val="005C0B28"/>
    <w:rsid w:val="005C0DD3"/>
    <w:rsid w:val="005C11BF"/>
    <w:rsid w:val="005C145B"/>
    <w:rsid w:val="005C2773"/>
    <w:rsid w:val="005C2AA9"/>
    <w:rsid w:val="005C31CF"/>
    <w:rsid w:val="005C334D"/>
    <w:rsid w:val="005C4B21"/>
    <w:rsid w:val="005C4E97"/>
    <w:rsid w:val="005C52F7"/>
    <w:rsid w:val="005C562D"/>
    <w:rsid w:val="005C5C6C"/>
    <w:rsid w:val="005C5F36"/>
    <w:rsid w:val="005C6178"/>
    <w:rsid w:val="005C6A1C"/>
    <w:rsid w:val="005C6E4B"/>
    <w:rsid w:val="005C756C"/>
    <w:rsid w:val="005C7D8E"/>
    <w:rsid w:val="005D03A6"/>
    <w:rsid w:val="005D1735"/>
    <w:rsid w:val="005D2F88"/>
    <w:rsid w:val="005D31AF"/>
    <w:rsid w:val="005D3292"/>
    <w:rsid w:val="005D33B9"/>
    <w:rsid w:val="005D4304"/>
    <w:rsid w:val="005D44AE"/>
    <w:rsid w:val="005D49DF"/>
    <w:rsid w:val="005D56B8"/>
    <w:rsid w:val="005D581B"/>
    <w:rsid w:val="005D58D6"/>
    <w:rsid w:val="005D5FB9"/>
    <w:rsid w:val="005D6D32"/>
    <w:rsid w:val="005E04EC"/>
    <w:rsid w:val="005E0B95"/>
    <w:rsid w:val="005E16EE"/>
    <w:rsid w:val="005E251B"/>
    <w:rsid w:val="005E2673"/>
    <w:rsid w:val="005E29D5"/>
    <w:rsid w:val="005E2D4C"/>
    <w:rsid w:val="005E3B91"/>
    <w:rsid w:val="005E44AF"/>
    <w:rsid w:val="005E6424"/>
    <w:rsid w:val="005E6517"/>
    <w:rsid w:val="005E67D4"/>
    <w:rsid w:val="005E6BE6"/>
    <w:rsid w:val="005F046B"/>
    <w:rsid w:val="005F09CD"/>
    <w:rsid w:val="005F0E4D"/>
    <w:rsid w:val="005F15EE"/>
    <w:rsid w:val="005F1661"/>
    <w:rsid w:val="005F1CD9"/>
    <w:rsid w:val="005F2DBC"/>
    <w:rsid w:val="005F38FC"/>
    <w:rsid w:val="005F4A47"/>
    <w:rsid w:val="005F4F2D"/>
    <w:rsid w:val="005F589E"/>
    <w:rsid w:val="005F6437"/>
    <w:rsid w:val="005F6811"/>
    <w:rsid w:val="005F6EC6"/>
    <w:rsid w:val="005F748A"/>
    <w:rsid w:val="005F7814"/>
    <w:rsid w:val="005F7DE6"/>
    <w:rsid w:val="005F7EAF"/>
    <w:rsid w:val="00600490"/>
    <w:rsid w:val="00600501"/>
    <w:rsid w:val="006007FA"/>
    <w:rsid w:val="006008AE"/>
    <w:rsid w:val="00600B14"/>
    <w:rsid w:val="00600E0E"/>
    <w:rsid w:val="00601C18"/>
    <w:rsid w:val="00602538"/>
    <w:rsid w:val="00602A51"/>
    <w:rsid w:val="00602E71"/>
    <w:rsid w:val="00603000"/>
    <w:rsid w:val="006030EA"/>
    <w:rsid w:val="006037AA"/>
    <w:rsid w:val="00603EEF"/>
    <w:rsid w:val="0060426C"/>
    <w:rsid w:val="006045A6"/>
    <w:rsid w:val="00604E4D"/>
    <w:rsid w:val="00605550"/>
    <w:rsid w:val="006057D9"/>
    <w:rsid w:val="006058A6"/>
    <w:rsid w:val="006058AB"/>
    <w:rsid w:val="006062D2"/>
    <w:rsid w:val="006065DF"/>
    <w:rsid w:val="006066CB"/>
    <w:rsid w:val="0060686E"/>
    <w:rsid w:val="00606BA2"/>
    <w:rsid w:val="00606D6E"/>
    <w:rsid w:val="00607AC1"/>
    <w:rsid w:val="00607B71"/>
    <w:rsid w:val="006101A8"/>
    <w:rsid w:val="006119AC"/>
    <w:rsid w:val="00611E85"/>
    <w:rsid w:val="00612517"/>
    <w:rsid w:val="00612A5E"/>
    <w:rsid w:val="00613161"/>
    <w:rsid w:val="0061323C"/>
    <w:rsid w:val="00613B9D"/>
    <w:rsid w:val="0061456F"/>
    <w:rsid w:val="00614E47"/>
    <w:rsid w:val="006150FC"/>
    <w:rsid w:val="006156D5"/>
    <w:rsid w:val="00615A85"/>
    <w:rsid w:val="0061675C"/>
    <w:rsid w:val="00617371"/>
    <w:rsid w:val="00617B42"/>
    <w:rsid w:val="00620285"/>
    <w:rsid w:val="00620337"/>
    <w:rsid w:val="0062142F"/>
    <w:rsid w:val="00621523"/>
    <w:rsid w:val="00621598"/>
    <w:rsid w:val="00621E20"/>
    <w:rsid w:val="00621F2D"/>
    <w:rsid w:val="00621F8C"/>
    <w:rsid w:val="0062249D"/>
    <w:rsid w:val="006225B1"/>
    <w:rsid w:val="006231A5"/>
    <w:rsid w:val="0062333C"/>
    <w:rsid w:val="00623570"/>
    <w:rsid w:val="00623A7B"/>
    <w:rsid w:val="00623DE7"/>
    <w:rsid w:val="006242B7"/>
    <w:rsid w:val="00624CA9"/>
    <w:rsid w:val="00625663"/>
    <w:rsid w:val="00625736"/>
    <w:rsid w:val="00625B1E"/>
    <w:rsid w:val="00627280"/>
    <w:rsid w:val="00630902"/>
    <w:rsid w:val="00631126"/>
    <w:rsid w:val="00631456"/>
    <w:rsid w:val="006316A6"/>
    <w:rsid w:val="006316D1"/>
    <w:rsid w:val="00631795"/>
    <w:rsid w:val="006317AC"/>
    <w:rsid w:val="00631E30"/>
    <w:rsid w:val="006334F8"/>
    <w:rsid w:val="00633A7D"/>
    <w:rsid w:val="00633AF8"/>
    <w:rsid w:val="00633E38"/>
    <w:rsid w:val="00634006"/>
    <w:rsid w:val="00634274"/>
    <w:rsid w:val="00635384"/>
    <w:rsid w:val="006357E1"/>
    <w:rsid w:val="00635BB0"/>
    <w:rsid w:val="006363CB"/>
    <w:rsid w:val="006364F4"/>
    <w:rsid w:val="00636543"/>
    <w:rsid w:val="00636745"/>
    <w:rsid w:val="006367BB"/>
    <w:rsid w:val="006400AC"/>
    <w:rsid w:val="006401B4"/>
    <w:rsid w:val="0064188D"/>
    <w:rsid w:val="006421DE"/>
    <w:rsid w:val="00642FFB"/>
    <w:rsid w:val="00643010"/>
    <w:rsid w:val="00643A61"/>
    <w:rsid w:val="00644042"/>
    <w:rsid w:val="00644981"/>
    <w:rsid w:val="00644B5E"/>
    <w:rsid w:val="00644EFD"/>
    <w:rsid w:val="00646300"/>
    <w:rsid w:val="00646303"/>
    <w:rsid w:val="006468E7"/>
    <w:rsid w:val="00646D83"/>
    <w:rsid w:val="00647734"/>
    <w:rsid w:val="00647E7A"/>
    <w:rsid w:val="00651143"/>
    <w:rsid w:val="00651CB3"/>
    <w:rsid w:val="00651EF2"/>
    <w:rsid w:val="0065243E"/>
    <w:rsid w:val="00653657"/>
    <w:rsid w:val="00654408"/>
    <w:rsid w:val="00654C3D"/>
    <w:rsid w:val="00654DB9"/>
    <w:rsid w:val="00654DF8"/>
    <w:rsid w:val="00655FC1"/>
    <w:rsid w:val="0065605A"/>
    <w:rsid w:val="00656311"/>
    <w:rsid w:val="0065649C"/>
    <w:rsid w:val="006564C7"/>
    <w:rsid w:val="00656878"/>
    <w:rsid w:val="00656D4A"/>
    <w:rsid w:val="00657FE7"/>
    <w:rsid w:val="00660057"/>
    <w:rsid w:val="00660321"/>
    <w:rsid w:val="00660346"/>
    <w:rsid w:val="00661B0E"/>
    <w:rsid w:val="00661B43"/>
    <w:rsid w:val="00662197"/>
    <w:rsid w:val="006622AF"/>
    <w:rsid w:val="00662617"/>
    <w:rsid w:val="00663255"/>
    <w:rsid w:val="0066331A"/>
    <w:rsid w:val="006644AA"/>
    <w:rsid w:val="006646FB"/>
    <w:rsid w:val="0066488A"/>
    <w:rsid w:val="006651A8"/>
    <w:rsid w:val="006661E2"/>
    <w:rsid w:val="00666261"/>
    <w:rsid w:val="0066761D"/>
    <w:rsid w:val="006702D4"/>
    <w:rsid w:val="00670CF7"/>
    <w:rsid w:val="006711B5"/>
    <w:rsid w:val="006712E6"/>
    <w:rsid w:val="00671B99"/>
    <w:rsid w:val="00671F1A"/>
    <w:rsid w:val="0067312B"/>
    <w:rsid w:val="00673710"/>
    <w:rsid w:val="00673DA3"/>
    <w:rsid w:val="00674626"/>
    <w:rsid w:val="00674700"/>
    <w:rsid w:val="006748C8"/>
    <w:rsid w:val="00675615"/>
    <w:rsid w:val="0067589B"/>
    <w:rsid w:val="00675AC6"/>
    <w:rsid w:val="006765B2"/>
    <w:rsid w:val="00676E80"/>
    <w:rsid w:val="006774E2"/>
    <w:rsid w:val="006778F0"/>
    <w:rsid w:val="00677AD8"/>
    <w:rsid w:val="0068024F"/>
    <w:rsid w:val="006802D0"/>
    <w:rsid w:val="00680872"/>
    <w:rsid w:val="00680C9A"/>
    <w:rsid w:val="00681536"/>
    <w:rsid w:val="006815AF"/>
    <w:rsid w:val="00681946"/>
    <w:rsid w:val="00681F89"/>
    <w:rsid w:val="0068295C"/>
    <w:rsid w:val="00684B0D"/>
    <w:rsid w:val="00684E6C"/>
    <w:rsid w:val="00685299"/>
    <w:rsid w:val="00685896"/>
    <w:rsid w:val="00685C0D"/>
    <w:rsid w:val="00685DFA"/>
    <w:rsid w:val="00686010"/>
    <w:rsid w:val="00686DE8"/>
    <w:rsid w:val="00687226"/>
    <w:rsid w:val="0068723C"/>
    <w:rsid w:val="006874C7"/>
    <w:rsid w:val="00687AD1"/>
    <w:rsid w:val="00687AD8"/>
    <w:rsid w:val="00687B7F"/>
    <w:rsid w:val="00687E12"/>
    <w:rsid w:val="00690049"/>
    <w:rsid w:val="00690802"/>
    <w:rsid w:val="00690AEE"/>
    <w:rsid w:val="00690B14"/>
    <w:rsid w:val="00691537"/>
    <w:rsid w:val="00691979"/>
    <w:rsid w:val="006921C4"/>
    <w:rsid w:val="00692750"/>
    <w:rsid w:val="00692798"/>
    <w:rsid w:val="00692AFC"/>
    <w:rsid w:val="00692F25"/>
    <w:rsid w:val="006933D1"/>
    <w:rsid w:val="00693898"/>
    <w:rsid w:val="006939C5"/>
    <w:rsid w:val="00694B38"/>
    <w:rsid w:val="00695CC1"/>
    <w:rsid w:val="00695D00"/>
    <w:rsid w:val="00695E9C"/>
    <w:rsid w:val="00696526"/>
    <w:rsid w:val="00696565"/>
    <w:rsid w:val="00696DEE"/>
    <w:rsid w:val="00697027"/>
    <w:rsid w:val="00697433"/>
    <w:rsid w:val="0069794A"/>
    <w:rsid w:val="006A09C2"/>
    <w:rsid w:val="006A0B51"/>
    <w:rsid w:val="006A12E6"/>
    <w:rsid w:val="006A15F0"/>
    <w:rsid w:val="006A1CC0"/>
    <w:rsid w:val="006A203D"/>
    <w:rsid w:val="006A2B56"/>
    <w:rsid w:val="006A2B82"/>
    <w:rsid w:val="006A328B"/>
    <w:rsid w:val="006A3E64"/>
    <w:rsid w:val="006A4AB1"/>
    <w:rsid w:val="006A4AFB"/>
    <w:rsid w:val="006A6071"/>
    <w:rsid w:val="006A703D"/>
    <w:rsid w:val="006A768E"/>
    <w:rsid w:val="006A779E"/>
    <w:rsid w:val="006A77F4"/>
    <w:rsid w:val="006A7D6D"/>
    <w:rsid w:val="006B0123"/>
    <w:rsid w:val="006B0AD8"/>
    <w:rsid w:val="006B1765"/>
    <w:rsid w:val="006B1F27"/>
    <w:rsid w:val="006B1F3C"/>
    <w:rsid w:val="006B2A4B"/>
    <w:rsid w:val="006B2B53"/>
    <w:rsid w:val="006B3A4A"/>
    <w:rsid w:val="006B3B67"/>
    <w:rsid w:val="006B47B5"/>
    <w:rsid w:val="006B4966"/>
    <w:rsid w:val="006B4E8B"/>
    <w:rsid w:val="006B54DE"/>
    <w:rsid w:val="006B5659"/>
    <w:rsid w:val="006B5D73"/>
    <w:rsid w:val="006B6298"/>
    <w:rsid w:val="006B6637"/>
    <w:rsid w:val="006B6B5E"/>
    <w:rsid w:val="006B6D68"/>
    <w:rsid w:val="006B7364"/>
    <w:rsid w:val="006B7650"/>
    <w:rsid w:val="006B76EA"/>
    <w:rsid w:val="006B7F22"/>
    <w:rsid w:val="006B7FD5"/>
    <w:rsid w:val="006C09EE"/>
    <w:rsid w:val="006C183E"/>
    <w:rsid w:val="006C18A0"/>
    <w:rsid w:val="006C1BF0"/>
    <w:rsid w:val="006C1C1B"/>
    <w:rsid w:val="006C2106"/>
    <w:rsid w:val="006C263F"/>
    <w:rsid w:val="006C2B53"/>
    <w:rsid w:val="006C2BF9"/>
    <w:rsid w:val="006C4033"/>
    <w:rsid w:val="006C44CE"/>
    <w:rsid w:val="006C4CE9"/>
    <w:rsid w:val="006C520E"/>
    <w:rsid w:val="006C5B74"/>
    <w:rsid w:val="006C5C38"/>
    <w:rsid w:val="006C643D"/>
    <w:rsid w:val="006C6D98"/>
    <w:rsid w:val="006C7434"/>
    <w:rsid w:val="006C7ACE"/>
    <w:rsid w:val="006C7AD3"/>
    <w:rsid w:val="006C7E4C"/>
    <w:rsid w:val="006D0733"/>
    <w:rsid w:val="006D1042"/>
    <w:rsid w:val="006D2C8F"/>
    <w:rsid w:val="006D34B2"/>
    <w:rsid w:val="006D3BB6"/>
    <w:rsid w:val="006D46F7"/>
    <w:rsid w:val="006D4A68"/>
    <w:rsid w:val="006D4DC6"/>
    <w:rsid w:val="006D6278"/>
    <w:rsid w:val="006D65BB"/>
    <w:rsid w:val="006D6AA0"/>
    <w:rsid w:val="006D6C12"/>
    <w:rsid w:val="006D6D07"/>
    <w:rsid w:val="006D6FBF"/>
    <w:rsid w:val="006D7750"/>
    <w:rsid w:val="006D7B7C"/>
    <w:rsid w:val="006D7D41"/>
    <w:rsid w:val="006D7E6E"/>
    <w:rsid w:val="006E02FC"/>
    <w:rsid w:val="006E08F3"/>
    <w:rsid w:val="006E0A61"/>
    <w:rsid w:val="006E0B0F"/>
    <w:rsid w:val="006E1214"/>
    <w:rsid w:val="006E1ED6"/>
    <w:rsid w:val="006E26F2"/>
    <w:rsid w:val="006E2BF4"/>
    <w:rsid w:val="006E3B9D"/>
    <w:rsid w:val="006E3CDE"/>
    <w:rsid w:val="006E5149"/>
    <w:rsid w:val="006E5780"/>
    <w:rsid w:val="006E655C"/>
    <w:rsid w:val="006E69AA"/>
    <w:rsid w:val="006E6F66"/>
    <w:rsid w:val="006F064C"/>
    <w:rsid w:val="006F0D9D"/>
    <w:rsid w:val="006F1262"/>
    <w:rsid w:val="006F15C5"/>
    <w:rsid w:val="006F1F89"/>
    <w:rsid w:val="006F1FBA"/>
    <w:rsid w:val="006F20A2"/>
    <w:rsid w:val="006F2616"/>
    <w:rsid w:val="006F2CE7"/>
    <w:rsid w:val="006F3D41"/>
    <w:rsid w:val="006F4698"/>
    <w:rsid w:val="006F48E0"/>
    <w:rsid w:val="006F4BBD"/>
    <w:rsid w:val="006F4CF9"/>
    <w:rsid w:val="006F5178"/>
    <w:rsid w:val="006F51E7"/>
    <w:rsid w:val="006F548D"/>
    <w:rsid w:val="006F5717"/>
    <w:rsid w:val="006F58CE"/>
    <w:rsid w:val="006F62CD"/>
    <w:rsid w:val="006F63B3"/>
    <w:rsid w:val="006F743B"/>
    <w:rsid w:val="006F7704"/>
    <w:rsid w:val="006F7847"/>
    <w:rsid w:val="0070006B"/>
    <w:rsid w:val="00700922"/>
    <w:rsid w:val="00700BF7"/>
    <w:rsid w:val="0070180D"/>
    <w:rsid w:val="00702201"/>
    <w:rsid w:val="00703220"/>
    <w:rsid w:val="00703601"/>
    <w:rsid w:val="00703B8F"/>
    <w:rsid w:val="00703D0D"/>
    <w:rsid w:val="007042AC"/>
    <w:rsid w:val="007043F9"/>
    <w:rsid w:val="00704B93"/>
    <w:rsid w:val="0070642B"/>
    <w:rsid w:val="00706618"/>
    <w:rsid w:val="0070676C"/>
    <w:rsid w:val="00706B06"/>
    <w:rsid w:val="00707567"/>
    <w:rsid w:val="0070770D"/>
    <w:rsid w:val="007109C4"/>
    <w:rsid w:val="00710D19"/>
    <w:rsid w:val="00711308"/>
    <w:rsid w:val="00711472"/>
    <w:rsid w:val="00711826"/>
    <w:rsid w:val="00711A58"/>
    <w:rsid w:val="00711B78"/>
    <w:rsid w:val="00711C4E"/>
    <w:rsid w:val="00712179"/>
    <w:rsid w:val="00712DD0"/>
    <w:rsid w:val="00713B71"/>
    <w:rsid w:val="00713F16"/>
    <w:rsid w:val="007140D3"/>
    <w:rsid w:val="007143A6"/>
    <w:rsid w:val="007145DC"/>
    <w:rsid w:val="0071470D"/>
    <w:rsid w:val="00715384"/>
    <w:rsid w:val="007153AB"/>
    <w:rsid w:val="007158AA"/>
    <w:rsid w:val="00715CB7"/>
    <w:rsid w:val="007162B8"/>
    <w:rsid w:val="00716B3A"/>
    <w:rsid w:val="0071761F"/>
    <w:rsid w:val="0071774E"/>
    <w:rsid w:val="00717764"/>
    <w:rsid w:val="00717FBB"/>
    <w:rsid w:val="007204B1"/>
    <w:rsid w:val="007204E3"/>
    <w:rsid w:val="007207D8"/>
    <w:rsid w:val="007209BD"/>
    <w:rsid w:val="00720C3B"/>
    <w:rsid w:val="0072108D"/>
    <w:rsid w:val="007216A5"/>
    <w:rsid w:val="00721752"/>
    <w:rsid w:val="00721FD0"/>
    <w:rsid w:val="00722545"/>
    <w:rsid w:val="00722582"/>
    <w:rsid w:val="00722717"/>
    <w:rsid w:val="00722BDB"/>
    <w:rsid w:val="00723633"/>
    <w:rsid w:val="0072405B"/>
    <w:rsid w:val="007243E2"/>
    <w:rsid w:val="007244DB"/>
    <w:rsid w:val="00724D10"/>
    <w:rsid w:val="0072555B"/>
    <w:rsid w:val="00725D0A"/>
    <w:rsid w:val="007264D1"/>
    <w:rsid w:val="007306D7"/>
    <w:rsid w:val="0073072A"/>
    <w:rsid w:val="00730C64"/>
    <w:rsid w:val="00731567"/>
    <w:rsid w:val="00731699"/>
    <w:rsid w:val="00731A61"/>
    <w:rsid w:val="0073210E"/>
    <w:rsid w:val="007329B8"/>
    <w:rsid w:val="0073300A"/>
    <w:rsid w:val="00733042"/>
    <w:rsid w:val="0073316B"/>
    <w:rsid w:val="00733AAA"/>
    <w:rsid w:val="00733C9B"/>
    <w:rsid w:val="00733D0F"/>
    <w:rsid w:val="00734712"/>
    <w:rsid w:val="00734D0E"/>
    <w:rsid w:val="00735141"/>
    <w:rsid w:val="007361BC"/>
    <w:rsid w:val="00736A48"/>
    <w:rsid w:val="00736A62"/>
    <w:rsid w:val="00737067"/>
    <w:rsid w:val="0073729E"/>
    <w:rsid w:val="00737320"/>
    <w:rsid w:val="007376DD"/>
    <w:rsid w:val="00737720"/>
    <w:rsid w:val="00737735"/>
    <w:rsid w:val="00737AFA"/>
    <w:rsid w:val="00737B5A"/>
    <w:rsid w:val="0074028E"/>
    <w:rsid w:val="00740548"/>
    <w:rsid w:val="007406EC"/>
    <w:rsid w:val="0074075C"/>
    <w:rsid w:val="00741981"/>
    <w:rsid w:val="00742294"/>
    <w:rsid w:val="00742BD0"/>
    <w:rsid w:val="00743082"/>
    <w:rsid w:val="00743090"/>
    <w:rsid w:val="00744744"/>
    <w:rsid w:val="007466D4"/>
    <w:rsid w:val="00747163"/>
    <w:rsid w:val="007478EE"/>
    <w:rsid w:val="0075014A"/>
    <w:rsid w:val="007501EC"/>
    <w:rsid w:val="00750AFE"/>
    <w:rsid w:val="00750F8F"/>
    <w:rsid w:val="0075145C"/>
    <w:rsid w:val="007514B4"/>
    <w:rsid w:val="00751E2F"/>
    <w:rsid w:val="007522B3"/>
    <w:rsid w:val="0075236A"/>
    <w:rsid w:val="0075272B"/>
    <w:rsid w:val="00752BC2"/>
    <w:rsid w:val="007535EB"/>
    <w:rsid w:val="007549DC"/>
    <w:rsid w:val="00755D58"/>
    <w:rsid w:val="00756104"/>
    <w:rsid w:val="0075692E"/>
    <w:rsid w:val="007604AE"/>
    <w:rsid w:val="00760975"/>
    <w:rsid w:val="00761137"/>
    <w:rsid w:val="00762936"/>
    <w:rsid w:val="007629EC"/>
    <w:rsid w:val="00762AB6"/>
    <w:rsid w:val="00762E6A"/>
    <w:rsid w:val="00762EF0"/>
    <w:rsid w:val="00763824"/>
    <w:rsid w:val="00763870"/>
    <w:rsid w:val="00763F06"/>
    <w:rsid w:val="007644FE"/>
    <w:rsid w:val="007646C4"/>
    <w:rsid w:val="00764C4F"/>
    <w:rsid w:val="00764EA1"/>
    <w:rsid w:val="0076502E"/>
    <w:rsid w:val="00765150"/>
    <w:rsid w:val="007654D8"/>
    <w:rsid w:val="00765611"/>
    <w:rsid w:val="00765BDB"/>
    <w:rsid w:val="007669BD"/>
    <w:rsid w:val="00767794"/>
    <w:rsid w:val="00767A8D"/>
    <w:rsid w:val="00767FE8"/>
    <w:rsid w:val="0077019B"/>
    <w:rsid w:val="0077123F"/>
    <w:rsid w:val="007712C1"/>
    <w:rsid w:val="0077192D"/>
    <w:rsid w:val="00771F05"/>
    <w:rsid w:val="00772814"/>
    <w:rsid w:val="0077343E"/>
    <w:rsid w:val="00773B69"/>
    <w:rsid w:val="00774560"/>
    <w:rsid w:val="0077459E"/>
    <w:rsid w:val="00774A8D"/>
    <w:rsid w:val="00774E22"/>
    <w:rsid w:val="00775C96"/>
    <w:rsid w:val="00776031"/>
    <w:rsid w:val="0077684C"/>
    <w:rsid w:val="00776924"/>
    <w:rsid w:val="00776C4B"/>
    <w:rsid w:val="00777B31"/>
    <w:rsid w:val="007803EC"/>
    <w:rsid w:val="00780A39"/>
    <w:rsid w:val="00780D27"/>
    <w:rsid w:val="00781CF9"/>
    <w:rsid w:val="00782F5C"/>
    <w:rsid w:val="00783363"/>
    <w:rsid w:val="007838A0"/>
    <w:rsid w:val="00784FFD"/>
    <w:rsid w:val="00785370"/>
    <w:rsid w:val="007858FB"/>
    <w:rsid w:val="007861FF"/>
    <w:rsid w:val="007862D6"/>
    <w:rsid w:val="00786912"/>
    <w:rsid w:val="0078792B"/>
    <w:rsid w:val="00787D47"/>
    <w:rsid w:val="007902D2"/>
    <w:rsid w:val="00790AA7"/>
    <w:rsid w:val="00790B62"/>
    <w:rsid w:val="00790C61"/>
    <w:rsid w:val="0079150C"/>
    <w:rsid w:val="007918E9"/>
    <w:rsid w:val="007919F2"/>
    <w:rsid w:val="00791B20"/>
    <w:rsid w:val="00791B2C"/>
    <w:rsid w:val="007926B3"/>
    <w:rsid w:val="00792767"/>
    <w:rsid w:val="00795719"/>
    <w:rsid w:val="0079576B"/>
    <w:rsid w:val="00795C52"/>
    <w:rsid w:val="00796763"/>
    <w:rsid w:val="0079708F"/>
    <w:rsid w:val="0079709A"/>
    <w:rsid w:val="00797969"/>
    <w:rsid w:val="007A3619"/>
    <w:rsid w:val="007A3755"/>
    <w:rsid w:val="007A3DE1"/>
    <w:rsid w:val="007A3F61"/>
    <w:rsid w:val="007A4D62"/>
    <w:rsid w:val="007A4DCF"/>
    <w:rsid w:val="007A632A"/>
    <w:rsid w:val="007A7E57"/>
    <w:rsid w:val="007B03B6"/>
    <w:rsid w:val="007B08E7"/>
    <w:rsid w:val="007B0C2E"/>
    <w:rsid w:val="007B1179"/>
    <w:rsid w:val="007B1459"/>
    <w:rsid w:val="007B1844"/>
    <w:rsid w:val="007B2153"/>
    <w:rsid w:val="007B2305"/>
    <w:rsid w:val="007B2802"/>
    <w:rsid w:val="007B2BC0"/>
    <w:rsid w:val="007B2C1F"/>
    <w:rsid w:val="007B305C"/>
    <w:rsid w:val="007B3140"/>
    <w:rsid w:val="007B341B"/>
    <w:rsid w:val="007B34C6"/>
    <w:rsid w:val="007B40E6"/>
    <w:rsid w:val="007B4633"/>
    <w:rsid w:val="007B58E3"/>
    <w:rsid w:val="007B642C"/>
    <w:rsid w:val="007B67B1"/>
    <w:rsid w:val="007B6AE3"/>
    <w:rsid w:val="007B71C2"/>
    <w:rsid w:val="007B7494"/>
    <w:rsid w:val="007C0252"/>
    <w:rsid w:val="007C0799"/>
    <w:rsid w:val="007C1FD5"/>
    <w:rsid w:val="007C224E"/>
    <w:rsid w:val="007C3171"/>
    <w:rsid w:val="007C33A7"/>
    <w:rsid w:val="007C3F7C"/>
    <w:rsid w:val="007C46D1"/>
    <w:rsid w:val="007C46FD"/>
    <w:rsid w:val="007C4D93"/>
    <w:rsid w:val="007C4E7E"/>
    <w:rsid w:val="007C5B98"/>
    <w:rsid w:val="007C5E29"/>
    <w:rsid w:val="007C601C"/>
    <w:rsid w:val="007C62C6"/>
    <w:rsid w:val="007C65E0"/>
    <w:rsid w:val="007C6D9B"/>
    <w:rsid w:val="007C7DFE"/>
    <w:rsid w:val="007D0959"/>
    <w:rsid w:val="007D09E0"/>
    <w:rsid w:val="007D3F50"/>
    <w:rsid w:val="007D4424"/>
    <w:rsid w:val="007D4A82"/>
    <w:rsid w:val="007D5207"/>
    <w:rsid w:val="007D555C"/>
    <w:rsid w:val="007D5604"/>
    <w:rsid w:val="007D583F"/>
    <w:rsid w:val="007D5EF9"/>
    <w:rsid w:val="007D67F4"/>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021"/>
    <w:rsid w:val="007E550F"/>
    <w:rsid w:val="007E5784"/>
    <w:rsid w:val="007E624A"/>
    <w:rsid w:val="007E6B35"/>
    <w:rsid w:val="007E7F13"/>
    <w:rsid w:val="007F076D"/>
    <w:rsid w:val="007F15C8"/>
    <w:rsid w:val="007F198D"/>
    <w:rsid w:val="007F238D"/>
    <w:rsid w:val="007F314D"/>
    <w:rsid w:val="007F3956"/>
    <w:rsid w:val="007F3FF4"/>
    <w:rsid w:val="007F554D"/>
    <w:rsid w:val="007F5DE0"/>
    <w:rsid w:val="007F5E47"/>
    <w:rsid w:val="007F6395"/>
    <w:rsid w:val="007F6AB9"/>
    <w:rsid w:val="007F71F3"/>
    <w:rsid w:val="007F7452"/>
    <w:rsid w:val="007F7647"/>
    <w:rsid w:val="007F79EE"/>
    <w:rsid w:val="007F7B26"/>
    <w:rsid w:val="008005F0"/>
    <w:rsid w:val="008009E1"/>
    <w:rsid w:val="00800D00"/>
    <w:rsid w:val="00801427"/>
    <w:rsid w:val="008015AB"/>
    <w:rsid w:val="0080229E"/>
    <w:rsid w:val="008022BA"/>
    <w:rsid w:val="008022F7"/>
    <w:rsid w:val="00802E61"/>
    <w:rsid w:val="00803118"/>
    <w:rsid w:val="008031DB"/>
    <w:rsid w:val="00803975"/>
    <w:rsid w:val="00804620"/>
    <w:rsid w:val="00804A42"/>
    <w:rsid w:val="00804C87"/>
    <w:rsid w:val="00805B0A"/>
    <w:rsid w:val="00805B9D"/>
    <w:rsid w:val="00806C1D"/>
    <w:rsid w:val="00807A1F"/>
    <w:rsid w:val="008101DC"/>
    <w:rsid w:val="00810423"/>
    <w:rsid w:val="00810719"/>
    <w:rsid w:val="00810B53"/>
    <w:rsid w:val="00810B68"/>
    <w:rsid w:val="00811159"/>
    <w:rsid w:val="0081240B"/>
    <w:rsid w:val="00812AAF"/>
    <w:rsid w:val="00813730"/>
    <w:rsid w:val="00813E06"/>
    <w:rsid w:val="00814DE1"/>
    <w:rsid w:val="008154A0"/>
    <w:rsid w:val="00815D43"/>
    <w:rsid w:val="0081692D"/>
    <w:rsid w:val="008169D1"/>
    <w:rsid w:val="00816F20"/>
    <w:rsid w:val="00816FB8"/>
    <w:rsid w:val="008170C5"/>
    <w:rsid w:val="00817F53"/>
    <w:rsid w:val="008201A9"/>
    <w:rsid w:val="00820422"/>
    <w:rsid w:val="0082045A"/>
    <w:rsid w:val="008211F5"/>
    <w:rsid w:val="00821467"/>
    <w:rsid w:val="0082195C"/>
    <w:rsid w:val="00821C5F"/>
    <w:rsid w:val="00821F21"/>
    <w:rsid w:val="00821FA9"/>
    <w:rsid w:val="00822ABB"/>
    <w:rsid w:val="00824447"/>
    <w:rsid w:val="008248C4"/>
    <w:rsid w:val="00825D9B"/>
    <w:rsid w:val="00825E86"/>
    <w:rsid w:val="00825ECC"/>
    <w:rsid w:val="008264E5"/>
    <w:rsid w:val="00826566"/>
    <w:rsid w:val="008265D0"/>
    <w:rsid w:val="00826831"/>
    <w:rsid w:val="008268EA"/>
    <w:rsid w:val="00826FE2"/>
    <w:rsid w:val="008302F1"/>
    <w:rsid w:val="0083092D"/>
    <w:rsid w:val="00831587"/>
    <w:rsid w:val="008319C0"/>
    <w:rsid w:val="00831DEC"/>
    <w:rsid w:val="008321AF"/>
    <w:rsid w:val="008322F3"/>
    <w:rsid w:val="0083241F"/>
    <w:rsid w:val="00832B33"/>
    <w:rsid w:val="00832B9F"/>
    <w:rsid w:val="00833344"/>
    <w:rsid w:val="00833BA4"/>
    <w:rsid w:val="00834907"/>
    <w:rsid w:val="00834A66"/>
    <w:rsid w:val="00834B29"/>
    <w:rsid w:val="008359F5"/>
    <w:rsid w:val="00835C1A"/>
    <w:rsid w:val="00835D35"/>
    <w:rsid w:val="0083609F"/>
    <w:rsid w:val="008367B7"/>
    <w:rsid w:val="00837B5C"/>
    <w:rsid w:val="00840037"/>
    <w:rsid w:val="00840399"/>
    <w:rsid w:val="00840F26"/>
    <w:rsid w:val="00841FA6"/>
    <w:rsid w:val="00842054"/>
    <w:rsid w:val="00842204"/>
    <w:rsid w:val="0084362E"/>
    <w:rsid w:val="00844282"/>
    <w:rsid w:val="008447C4"/>
    <w:rsid w:val="00844BEF"/>
    <w:rsid w:val="00844CA6"/>
    <w:rsid w:val="00845071"/>
    <w:rsid w:val="0084537B"/>
    <w:rsid w:val="008463E1"/>
    <w:rsid w:val="0084659A"/>
    <w:rsid w:val="00846EFA"/>
    <w:rsid w:val="00847CC8"/>
    <w:rsid w:val="008505D8"/>
    <w:rsid w:val="00850A15"/>
    <w:rsid w:val="00852144"/>
    <w:rsid w:val="00852178"/>
    <w:rsid w:val="00852298"/>
    <w:rsid w:val="00852A47"/>
    <w:rsid w:val="00852B6C"/>
    <w:rsid w:val="008533CD"/>
    <w:rsid w:val="00853EF7"/>
    <w:rsid w:val="008543E6"/>
    <w:rsid w:val="00854581"/>
    <w:rsid w:val="008549D8"/>
    <w:rsid w:val="008551DC"/>
    <w:rsid w:val="008552D0"/>
    <w:rsid w:val="0085563E"/>
    <w:rsid w:val="00855C5E"/>
    <w:rsid w:val="0085607D"/>
    <w:rsid w:val="008565DD"/>
    <w:rsid w:val="0085677F"/>
    <w:rsid w:val="008569C9"/>
    <w:rsid w:val="00856D8E"/>
    <w:rsid w:val="00857C19"/>
    <w:rsid w:val="0086043A"/>
    <w:rsid w:val="008608F6"/>
    <w:rsid w:val="008612EF"/>
    <w:rsid w:val="00861B6E"/>
    <w:rsid w:val="00862F73"/>
    <w:rsid w:val="00863329"/>
    <w:rsid w:val="008637F1"/>
    <w:rsid w:val="00863F06"/>
    <w:rsid w:val="008640F0"/>
    <w:rsid w:val="00864F6C"/>
    <w:rsid w:val="008650C6"/>
    <w:rsid w:val="00865F48"/>
    <w:rsid w:val="00866F67"/>
    <w:rsid w:val="0086733A"/>
    <w:rsid w:val="00867B80"/>
    <w:rsid w:val="0087059E"/>
    <w:rsid w:val="00870D12"/>
    <w:rsid w:val="00870F49"/>
    <w:rsid w:val="008711BA"/>
    <w:rsid w:val="0087120D"/>
    <w:rsid w:val="00871E16"/>
    <w:rsid w:val="0087212E"/>
    <w:rsid w:val="00872FB1"/>
    <w:rsid w:val="008750B7"/>
    <w:rsid w:val="008754BC"/>
    <w:rsid w:val="00875DB5"/>
    <w:rsid w:val="008763E4"/>
    <w:rsid w:val="00876E5B"/>
    <w:rsid w:val="008773FF"/>
    <w:rsid w:val="00877E1F"/>
    <w:rsid w:val="00880279"/>
    <w:rsid w:val="0088028A"/>
    <w:rsid w:val="00881466"/>
    <w:rsid w:val="00881471"/>
    <w:rsid w:val="008826BD"/>
    <w:rsid w:val="008827F8"/>
    <w:rsid w:val="008828DB"/>
    <w:rsid w:val="00882ABD"/>
    <w:rsid w:val="00882D24"/>
    <w:rsid w:val="0088311A"/>
    <w:rsid w:val="0088381F"/>
    <w:rsid w:val="00883A86"/>
    <w:rsid w:val="00883BAC"/>
    <w:rsid w:val="00885165"/>
    <w:rsid w:val="00885329"/>
    <w:rsid w:val="0088578C"/>
    <w:rsid w:val="00885C04"/>
    <w:rsid w:val="008861B8"/>
    <w:rsid w:val="008861E0"/>
    <w:rsid w:val="008863C5"/>
    <w:rsid w:val="00886893"/>
    <w:rsid w:val="00886E01"/>
    <w:rsid w:val="00886E91"/>
    <w:rsid w:val="00887A3F"/>
    <w:rsid w:val="00887E24"/>
    <w:rsid w:val="00890733"/>
    <w:rsid w:val="00891340"/>
    <w:rsid w:val="00891575"/>
    <w:rsid w:val="00891C09"/>
    <w:rsid w:val="00891C41"/>
    <w:rsid w:val="00891DAC"/>
    <w:rsid w:val="00891FDB"/>
    <w:rsid w:val="008921F5"/>
    <w:rsid w:val="00892736"/>
    <w:rsid w:val="008927A8"/>
    <w:rsid w:val="00893A4C"/>
    <w:rsid w:val="00893B96"/>
    <w:rsid w:val="008946BB"/>
    <w:rsid w:val="008948ED"/>
    <w:rsid w:val="00895327"/>
    <w:rsid w:val="0089655E"/>
    <w:rsid w:val="008965DF"/>
    <w:rsid w:val="00896B52"/>
    <w:rsid w:val="008971C7"/>
    <w:rsid w:val="008972EC"/>
    <w:rsid w:val="008976A4"/>
    <w:rsid w:val="008A0BFB"/>
    <w:rsid w:val="008A10A1"/>
    <w:rsid w:val="008A11E2"/>
    <w:rsid w:val="008A1B1F"/>
    <w:rsid w:val="008A1CE8"/>
    <w:rsid w:val="008A2D56"/>
    <w:rsid w:val="008A3625"/>
    <w:rsid w:val="008A47C4"/>
    <w:rsid w:val="008A47F5"/>
    <w:rsid w:val="008A5386"/>
    <w:rsid w:val="008A5AFA"/>
    <w:rsid w:val="008A5D65"/>
    <w:rsid w:val="008A5EBD"/>
    <w:rsid w:val="008A5F3F"/>
    <w:rsid w:val="008A6923"/>
    <w:rsid w:val="008A6D5C"/>
    <w:rsid w:val="008A6DDB"/>
    <w:rsid w:val="008A7467"/>
    <w:rsid w:val="008A767A"/>
    <w:rsid w:val="008A7E3D"/>
    <w:rsid w:val="008B028E"/>
    <w:rsid w:val="008B08C1"/>
    <w:rsid w:val="008B12A6"/>
    <w:rsid w:val="008B1E93"/>
    <w:rsid w:val="008B300D"/>
    <w:rsid w:val="008B30DB"/>
    <w:rsid w:val="008B3AEA"/>
    <w:rsid w:val="008B3CA0"/>
    <w:rsid w:val="008B3E41"/>
    <w:rsid w:val="008B462B"/>
    <w:rsid w:val="008B49E3"/>
    <w:rsid w:val="008B4AE1"/>
    <w:rsid w:val="008B5A60"/>
    <w:rsid w:val="008B5F97"/>
    <w:rsid w:val="008B6785"/>
    <w:rsid w:val="008B68D6"/>
    <w:rsid w:val="008B6D03"/>
    <w:rsid w:val="008B7061"/>
    <w:rsid w:val="008C0140"/>
    <w:rsid w:val="008C0858"/>
    <w:rsid w:val="008C0D98"/>
    <w:rsid w:val="008C0E70"/>
    <w:rsid w:val="008C0E9D"/>
    <w:rsid w:val="008C1506"/>
    <w:rsid w:val="008C1E9C"/>
    <w:rsid w:val="008C258C"/>
    <w:rsid w:val="008C3871"/>
    <w:rsid w:val="008C3EB2"/>
    <w:rsid w:val="008C466C"/>
    <w:rsid w:val="008C527B"/>
    <w:rsid w:val="008C5302"/>
    <w:rsid w:val="008C53B3"/>
    <w:rsid w:val="008C5973"/>
    <w:rsid w:val="008C5E40"/>
    <w:rsid w:val="008C5FA3"/>
    <w:rsid w:val="008C6038"/>
    <w:rsid w:val="008C74C6"/>
    <w:rsid w:val="008D0716"/>
    <w:rsid w:val="008D074C"/>
    <w:rsid w:val="008D1D49"/>
    <w:rsid w:val="008D1DE2"/>
    <w:rsid w:val="008D2E1C"/>
    <w:rsid w:val="008D3020"/>
    <w:rsid w:val="008D3B3D"/>
    <w:rsid w:val="008D3D0A"/>
    <w:rsid w:val="008D3D6E"/>
    <w:rsid w:val="008D3F66"/>
    <w:rsid w:val="008D4CB1"/>
    <w:rsid w:val="008D4F13"/>
    <w:rsid w:val="008D51C1"/>
    <w:rsid w:val="008D5FED"/>
    <w:rsid w:val="008D6030"/>
    <w:rsid w:val="008D63CB"/>
    <w:rsid w:val="008D6D56"/>
    <w:rsid w:val="008D6FED"/>
    <w:rsid w:val="008D7D29"/>
    <w:rsid w:val="008D7EAF"/>
    <w:rsid w:val="008E03C1"/>
    <w:rsid w:val="008E0834"/>
    <w:rsid w:val="008E098A"/>
    <w:rsid w:val="008E0EFF"/>
    <w:rsid w:val="008E1983"/>
    <w:rsid w:val="008E1CE0"/>
    <w:rsid w:val="008E2807"/>
    <w:rsid w:val="008E3227"/>
    <w:rsid w:val="008E3550"/>
    <w:rsid w:val="008E4575"/>
    <w:rsid w:val="008E5A9E"/>
    <w:rsid w:val="008E65F7"/>
    <w:rsid w:val="008E6B4A"/>
    <w:rsid w:val="008E702D"/>
    <w:rsid w:val="008E7450"/>
    <w:rsid w:val="008E782C"/>
    <w:rsid w:val="008F082A"/>
    <w:rsid w:val="008F167E"/>
    <w:rsid w:val="008F2604"/>
    <w:rsid w:val="008F2BA7"/>
    <w:rsid w:val="008F3369"/>
    <w:rsid w:val="008F400A"/>
    <w:rsid w:val="008F411A"/>
    <w:rsid w:val="008F54FC"/>
    <w:rsid w:val="008F5574"/>
    <w:rsid w:val="008F56C2"/>
    <w:rsid w:val="008F5AB2"/>
    <w:rsid w:val="008F5CAB"/>
    <w:rsid w:val="008F5EFF"/>
    <w:rsid w:val="008F6190"/>
    <w:rsid w:val="008F6819"/>
    <w:rsid w:val="008F6F3C"/>
    <w:rsid w:val="008F72CA"/>
    <w:rsid w:val="008F7509"/>
    <w:rsid w:val="008F7890"/>
    <w:rsid w:val="00900156"/>
    <w:rsid w:val="0090017E"/>
    <w:rsid w:val="009005A4"/>
    <w:rsid w:val="00900C4C"/>
    <w:rsid w:val="009010A2"/>
    <w:rsid w:val="00901638"/>
    <w:rsid w:val="00901901"/>
    <w:rsid w:val="00901939"/>
    <w:rsid w:val="00901EF3"/>
    <w:rsid w:val="00901FBC"/>
    <w:rsid w:val="00902842"/>
    <w:rsid w:val="00903406"/>
    <w:rsid w:val="00903524"/>
    <w:rsid w:val="00903B0F"/>
    <w:rsid w:val="00903CB7"/>
    <w:rsid w:val="00903DB0"/>
    <w:rsid w:val="0090407F"/>
    <w:rsid w:val="00904A81"/>
    <w:rsid w:val="00906440"/>
    <w:rsid w:val="0090745B"/>
    <w:rsid w:val="00907505"/>
    <w:rsid w:val="009100F7"/>
    <w:rsid w:val="0091016D"/>
    <w:rsid w:val="00910F3C"/>
    <w:rsid w:val="0091144D"/>
    <w:rsid w:val="0091157A"/>
    <w:rsid w:val="009119B7"/>
    <w:rsid w:val="00911A5C"/>
    <w:rsid w:val="00911BD3"/>
    <w:rsid w:val="00911F8F"/>
    <w:rsid w:val="009124F2"/>
    <w:rsid w:val="009126F7"/>
    <w:rsid w:val="00912A81"/>
    <w:rsid w:val="00912C53"/>
    <w:rsid w:val="00912CDE"/>
    <w:rsid w:val="00912D09"/>
    <w:rsid w:val="00912F0D"/>
    <w:rsid w:val="00912F5A"/>
    <w:rsid w:val="00912FC3"/>
    <w:rsid w:val="009138C8"/>
    <w:rsid w:val="00914460"/>
    <w:rsid w:val="00914845"/>
    <w:rsid w:val="00914CDC"/>
    <w:rsid w:val="0091525D"/>
    <w:rsid w:val="0091591D"/>
    <w:rsid w:val="00915CB6"/>
    <w:rsid w:val="0091676D"/>
    <w:rsid w:val="00916A2C"/>
    <w:rsid w:val="00916B48"/>
    <w:rsid w:val="00917329"/>
    <w:rsid w:val="00917A1B"/>
    <w:rsid w:val="00917E98"/>
    <w:rsid w:val="009206D1"/>
    <w:rsid w:val="00920E89"/>
    <w:rsid w:val="0092106E"/>
    <w:rsid w:val="0092118D"/>
    <w:rsid w:val="0092181D"/>
    <w:rsid w:val="0092219C"/>
    <w:rsid w:val="009223FB"/>
    <w:rsid w:val="00922C84"/>
    <w:rsid w:val="00923DFB"/>
    <w:rsid w:val="009248D8"/>
    <w:rsid w:val="00924C33"/>
    <w:rsid w:val="00924F61"/>
    <w:rsid w:val="00925901"/>
    <w:rsid w:val="00926683"/>
    <w:rsid w:val="0092715C"/>
    <w:rsid w:val="00930540"/>
    <w:rsid w:val="00930632"/>
    <w:rsid w:val="009312A2"/>
    <w:rsid w:val="009312C1"/>
    <w:rsid w:val="00931428"/>
    <w:rsid w:val="009314CB"/>
    <w:rsid w:val="0093243F"/>
    <w:rsid w:val="009331F3"/>
    <w:rsid w:val="00933AEE"/>
    <w:rsid w:val="00933BE4"/>
    <w:rsid w:val="00933FC9"/>
    <w:rsid w:val="009340F3"/>
    <w:rsid w:val="00934C07"/>
    <w:rsid w:val="00935039"/>
    <w:rsid w:val="0093593F"/>
    <w:rsid w:val="00935B32"/>
    <w:rsid w:val="009365C0"/>
    <w:rsid w:val="00936A48"/>
    <w:rsid w:val="00936FA1"/>
    <w:rsid w:val="00937123"/>
    <w:rsid w:val="0093772B"/>
    <w:rsid w:val="009378B5"/>
    <w:rsid w:val="00937A27"/>
    <w:rsid w:val="00940A7C"/>
    <w:rsid w:val="00940F47"/>
    <w:rsid w:val="00941055"/>
    <w:rsid w:val="009410DC"/>
    <w:rsid w:val="00941167"/>
    <w:rsid w:val="00941EE0"/>
    <w:rsid w:val="009422F2"/>
    <w:rsid w:val="00942E35"/>
    <w:rsid w:val="00942E86"/>
    <w:rsid w:val="00942F89"/>
    <w:rsid w:val="00943180"/>
    <w:rsid w:val="00943379"/>
    <w:rsid w:val="00943511"/>
    <w:rsid w:val="009438AA"/>
    <w:rsid w:val="00943B32"/>
    <w:rsid w:val="00944578"/>
    <w:rsid w:val="00944A83"/>
    <w:rsid w:val="00944B12"/>
    <w:rsid w:val="00945D68"/>
    <w:rsid w:val="00945F54"/>
    <w:rsid w:val="00946138"/>
    <w:rsid w:val="00946AED"/>
    <w:rsid w:val="00946BBC"/>
    <w:rsid w:val="00946CB1"/>
    <w:rsid w:val="00946D86"/>
    <w:rsid w:val="00946FCA"/>
    <w:rsid w:val="00950B18"/>
    <w:rsid w:val="00950E58"/>
    <w:rsid w:val="00951106"/>
    <w:rsid w:val="009514DD"/>
    <w:rsid w:val="0095220E"/>
    <w:rsid w:val="00952984"/>
    <w:rsid w:val="00952B3C"/>
    <w:rsid w:val="00952C29"/>
    <w:rsid w:val="00953D97"/>
    <w:rsid w:val="00953EDC"/>
    <w:rsid w:val="009547A0"/>
    <w:rsid w:val="009550F4"/>
    <w:rsid w:val="009551B3"/>
    <w:rsid w:val="009553B5"/>
    <w:rsid w:val="0095613F"/>
    <w:rsid w:val="00956E24"/>
    <w:rsid w:val="00956E50"/>
    <w:rsid w:val="00957099"/>
    <w:rsid w:val="009602D5"/>
    <w:rsid w:val="0096034D"/>
    <w:rsid w:val="0096036B"/>
    <w:rsid w:val="00960827"/>
    <w:rsid w:val="00960858"/>
    <w:rsid w:val="009609E6"/>
    <w:rsid w:val="009609EB"/>
    <w:rsid w:val="00960EDC"/>
    <w:rsid w:val="009615CF"/>
    <w:rsid w:val="009616EB"/>
    <w:rsid w:val="00961ADB"/>
    <w:rsid w:val="00961BFD"/>
    <w:rsid w:val="009630B6"/>
    <w:rsid w:val="00963117"/>
    <w:rsid w:val="0096328D"/>
    <w:rsid w:val="009632E7"/>
    <w:rsid w:val="00963797"/>
    <w:rsid w:val="0096450E"/>
    <w:rsid w:val="00964931"/>
    <w:rsid w:val="0096579D"/>
    <w:rsid w:val="00965F54"/>
    <w:rsid w:val="00966004"/>
    <w:rsid w:val="009660F9"/>
    <w:rsid w:val="00966166"/>
    <w:rsid w:val="009661D1"/>
    <w:rsid w:val="009661F3"/>
    <w:rsid w:val="009665E9"/>
    <w:rsid w:val="0096667E"/>
    <w:rsid w:val="00966848"/>
    <w:rsid w:val="00966F6F"/>
    <w:rsid w:val="00967177"/>
    <w:rsid w:val="00970AD9"/>
    <w:rsid w:val="00970B39"/>
    <w:rsid w:val="00970F98"/>
    <w:rsid w:val="009716A1"/>
    <w:rsid w:val="00971CF0"/>
    <w:rsid w:val="00971DA8"/>
    <w:rsid w:val="0097206E"/>
    <w:rsid w:val="009721F3"/>
    <w:rsid w:val="00972496"/>
    <w:rsid w:val="0097286B"/>
    <w:rsid w:val="00973089"/>
    <w:rsid w:val="00973D0B"/>
    <w:rsid w:val="00974C9D"/>
    <w:rsid w:val="0097508C"/>
    <w:rsid w:val="009750D1"/>
    <w:rsid w:val="0097553D"/>
    <w:rsid w:val="009755C7"/>
    <w:rsid w:val="00976108"/>
    <w:rsid w:val="00977831"/>
    <w:rsid w:val="009779D5"/>
    <w:rsid w:val="00977D18"/>
    <w:rsid w:val="009801A0"/>
    <w:rsid w:val="00980271"/>
    <w:rsid w:val="00981019"/>
    <w:rsid w:val="00981377"/>
    <w:rsid w:val="009814C6"/>
    <w:rsid w:val="00981805"/>
    <w:rsid w:val="00981AD1"/>
    <w:rsid w:val="00984015"/>
    <w:rsid w:val="009843C1"/>
    <w:rsid w:val="009844CD"/>
    <w:rsid w:val="00984C52"/>
    <w:rsid w:val="009856B1"/>
    <w:rsid w:val="00985A46"/>
    <w:rsid w:val="00985A75"/>
    <w:rsid w:val="00985A99"/>
    <w:rsid w:val="00985DC8"/>
    <w:rsid w:val="00986990"/>
    <w:rsid w:val="0098730A"/>
    <w:rsid w:val="00987A72"/>
    <w:rsid w:val="00987DF5"/>
    <w:rsid w:val="009901A5"/>
    <w:rsid w:val="0099063A"/>
    <w:rsid w:val="00990B46"/>
    <w:rsid w:val="009910BE"/>
    <w:rsid w:val="00991593"/>
    <w:rsid w:val="00992056"/>
    <w:rsid w:val="00992D4F"/>
    <w:rsid w:val="0099303E"/>
    <w:rsid w:val="009931AE"/>
    <w:rsid w:val="00993650"/>
    <w:rsid w:val="00994A91"/>
    <w:rsid w:val="00994B3D"/>
    <w:rsid w:val="0099518D"/>
    <w:rsid w:val="009953E0"/>
    <w:rsid w:val="009955DA"/>
    <w:rsid w:val="00995DE2"/>
    <w:rsid w:val="00996483"/>
    <w:rsid w:val="00996708"/>
    <w:rsid w:val="00996B69"/>
    <w:rsid w:val="00997F35"/>
    <w:rsid w:val="009A01FA"/>
    <w:rsid w:val="009A1DAC"/>
    <w:rsid w:val="009A1ED9"/>
    <w:rsid w:val="009A2799"/>
    <w:rsid w:val="009A29AD"/>
    <w:rsid w:val="009A38A5"/>
    <w:rsid w:val="009A43B6"/>
    <w:rsid w:val="009A443E"/>
    <w:rsid w:val="009A4E6B"/>
    <w:rsid w:val="009A5709"/>
    <w:rsid w:val="009A5901"/>
    <w:rsid w:val="009A5A4A"/>
    <w:rsid w:val="009A603A"/>
    <w:rsid w:val="009A64AF"/>
    <w:rsid w:val="009A6D0F"/>
    <w:rsid w:val="009A6F5F"/>
    <w:rsid w:val="009A7AAC"/>
    <w:rsid w:val="009B064B"/>
    <w:rsid w:val="009B0726"/>
    <w:rsid w:val="009B0A91"/>
    <w:rsid w:val="009B1064"/>
    <w:rsid w:val="009B116B"/>
    <w:rsid w:val="009B2383"/>
    <w:rsid w:val="009B2A03"/>
    <w:rsid w:val="009B330D"/>
    <w:rsid w:val="009B36D3"/>
    <w:rsid w:val="009B4BEA"/>
    <w:rsid w:val="009B4CB7"/>
    <w:rsid w:val="009B4EDB"/>
    <w:rsid w:val="009B54D4"/>
    <w:rsid w:val="009B5867"/>
    <w:rsid w:val="009B59CE"/>
    <w:rsid w:val="009B6089"/>
    <w:rsid w:val="009B65AD"/>
    <w:rsid w:val="009B67CE"/>
    <w:rsid w:val="009B68CD"/>
    <w:rsid w:val="009B6DD8"/>
    <w:rsid w:val="009B745F"/>
    <w:rsid w:val="009B74F9"/>
    <w:rsid w:val="009B776A"/>
    <w:rsid w:val="009C038C"/>
    <w:rsid w:val="009C08DB"/>
    <w:rsid w:val="009C0BBC"/>
    <w:rsid w:val="009C2396"/>
    <w:rsid w:val="009C2769"/>
    <w:rsid w:val="009C3C63"/>
    <w:rsid w:val="009C3CC6"/>
    <w:rsid w:val="009C3D9A"/>
    <w:rsid w:val="009C3E31"/>
    <w:rsid w:val="009C4044"/>
    <w:rsid w:val="009C4AC7"/>
    <w:rsid w:val="009C5246"/>
    <w:rsid w:val="009C5D2F"/>
    <w:rsid w:val="009C6B2A"/>
    <w:rsid w:val="009C6B6F"/>
    <w:rsid w:val="009C7158"/>
    <w:rsid w:val="009C75C6"/>
    <w:rsid w:val="009C7E40"/>
    <w:rsid w:val="009D0131"/>
    <w:rsid w:val="009D139A"/>
    <w:rsid w:val="009D146E"/>
    <w:rsid w:val="009D1847"/>
    <w:rsid w:val="009D1EF5"/>
    <w:rsid w:val="009D2134"/>
    <w:rsid w:val="009D21DD"/>
    <w:rsid w:val="009D29A4"/>
    <w:rsid w:val="009D315A"/>
    <w:rsid w:val="009D336E"/>
    <w:rsid w:val="009D348A"/>
    <w:rsid w:val="009D38F9"/>
    <w:rsid w:val="009D3B81"/>
    <w:rsid w:val="009D41C7"/>
    <w:rsid w:val="009D47A4"/>
    <w:rsid w:val="009D483F"/>
    <w:rsid w:val="009D493D"/>
    <w:rsid w:val="009D54DD"/>
    <w:rsid w:val="009D5717"/>
    <w:rsid w:val="009D585C"/>
    <w:rsid w:val="009D5A79"/>
    <w:rsid w:val="009D5BAD"/>
    <w:rsid w:val="009D69B5"/>
    <w:rsid w:val="009D6AE4"/>
    <w:rsid w:val="009D7141"/>
    <w:rsid w:val="009D7A9E"/>
    <w:rsid w:val="009E090D"/>
    <w:rsid w:val="009E0945"/>
    <w:rsid w:val="009E11D3"/>
    <w:rsid w:val="009E1366"/>
    <w:rsid w:val="009E1410"/>
    <w:rsid w:val="009E1928"/>
    <w:rsid w:val="009E1B87"/>
    <w:rsid w:val="009E1E8D"/>
    <w:rsid w:val="009E2458"/>
    <w:rsid w:val="009E2AAB"/>
    <w:rsid w:val="009E3B14"/>
    <w:rsid w:val="009E423B"/>
    <w:rsid w:val="009E45E4"/>
    <w:rsid w:val="009E5094"/>
    <w:rsid w:val="009E572F"/>
    <w:rsid w:val="009E5D97"/>
    <w:rsid w:val="009E6001"/>
    <w:rsid w:val="009E6898"/>
    <w:rsid w:val="009E68EC"/>
    <w:rsid w:val="009E6F93"/>
    <w:rsid w:val="009F03D2"/>
    <w:rsid w:val="009F0608"/>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4A49"/>
    <w:rsid w:val="009F4F60"/>
    <w:rsid w:val="009F5BD8"/>
    <w:rsid w:val="009F6073"/>
    <w:rsid w:val="009F6389"/>
    <w:rsid w:val="009F6538"/>
    <w:rsid w:val="009F6674"/>
    <w:rsid w:val="009F6B7B"/>
    <w:rsid w:val="009F7CEA"/>
    <w:rsid w:val="00A00211"/>
    <w:rsid w:val="00A017D9"/>
    <w:rsid w:val="00A01915"/>
    <w:rsid w:val="00A01A52"/>
    <w:rsid w:val="00A01C93"/>
    <w:rsid w:val="00A02D98"/>
    <w:rsid w:val="00A034AB"/>
    <w:rsid w:val="00A0373A"/>
    <w:rsid w:val="00A03ED3"/>
    <w:rsid w:val="00A04628"/>
    <w:rsid w:val="00A04973"/>
    <w:rsid w:val="00A04B97"/>
    <w:rsid w:val="00A04EB3"/>
    <w:rsid w:val="00A051CE"/>
    <w:rsid w:val="00A05785"/>
    <w:rsid w:val="00A05C11"/>
    <w:rsid w:val="00A05FF2"/>
    <w:rsid w:val="00A0691E"/>
    <w:rsid w:val="00A069BA"/>
    <w:rsid w:val="00A06A60"/>
    <w:rsid w:val="00A07276"/>
    <w:rsid w:val="00A0736F"/>
    <w:rsid w:val="00A10088"/>
    <w:rsid w:val="00A100AB"/>
    <w:rsid w:val="00A108CF"/>
    <w:rsid w:val="00A1207B"/>
    <w:rsid w:val="00A12395"/>
    <w:rsid w:val="00A13C23"/>
    <w:rsid w:val="00A13E48"/>
    <w:rsid w:val="00A14261"/>
    <w:rsid w:val="00A142C2"/>
    <w:rsid w:val="00A14640"/>
    <w:rsid w:val="00A14C90"/>
    <w:rsid w:val="00A14ED7"/>
    <w:rsid w:val="00A15177"/>
    <w:rsid w:val="00A15178"/>
    <w:rsid w:val="00A15794"/>
    <w:rsid w:val="00A15C39"/>
    <w:rsid w:val="00A15F21"/>
    <w:rsid w:val="00A1613D"/>
    <w:rsid w:val="00A17310"/>
    <w:rsid w:val="00A2016B"/>
    <w:rsid w:val="00A201CD"/>
    <w:rsid w:val="00A20554"/>
    <w:rsid w:val="00A206CB"/>
    <w:rsid w:val="00A210A3"/>
    <w:rsid w:val="00A212A0"/>
    <w:rsid w:val="00A21AA3"/>
    <w:rsid w:val="00A21B76"/>
    <w:rsid w:val="00A21D17"/>
    <w:rsid w:val="00A22458"/>
    <w:rsid w:val="00A22648"/>
    <w:rsid w:val="00A22A95"/>
    <w:rsid w:val="00A24779"/>
    <w:rsid w:val="00A250DD"/>
    <w:rsid w:val="00A252CB"/>
    <w:rsid w:val="00A2534B"/>
    <w:rsid w:val="00A255C7"/>
    <w:rsid w:val="00A25D35"/>
    <w:rsid w:val="00A26094"/>
    <w:rsid w:val="00A265AA"/>
    <w:rsid w:val="00A26BBA"/>
    <w:rsid w:val="00A27C14"/>
    <w:rsid w:val="00A30674"/>
    <w:rsid w:val="00A30E79"/>
    <w:rsid w:val="00A3113E"/>
    <w:rsid w:val="00A31B84"/>
    <w:rsid w:val="00A31D79"/>
    <w:rsid w:val="00A31D83"/>
    <w:rsid w:val="00A32138"/>
    <w:rsid w:val="00A325FB"/>
    <w:rsid w:val="00A327AC"/>
    <w:rsid w:val="00A33121"/>
    <w:rsid w:val="00A335C9"/>
    <w:rsid w:val="00A3374A"/>
    <w:rsid w:val="00A33A9A"/>
    <w:rsid w:val="00A34B2E"/>
    <w:rsid w:val="00A34DBB"/>
    <w:rsid w:val="00A34F91"/>
    <w:rsid w:val="00A35488"/>
    <w:rsid w:val="00A35832"/>
    <w:rsid w:val="00A35B61"/>
    <w:rsid w:val="00A35C8C"/>
    <w:rsid w:val="00A35DB5"/>
    <w:rsid w:val="00A36E74"/>
    <w:rsid w:val="00A37994"/>
    <w:rsid w:val="00A37A3E"/>
    <w:rsid w:val="00A40807"/>
    <w:rsid w:val="00A40AD9"/>
    <w:rsid w:val="00A4115C"/>
    <w:rsid w:val="00A41437"/>
    <w:rsid w:val="00A41D6A"/>
    <w:rsid w:val="00A41DEF"/>
    <w:rsid w:val="00A42636"/>
    <w:rsid w:val="00A426AF"/>
    <w:rsid w:val="00A43BBE"/>
    <w:rsid w:val="00A4565C"/>
    <w:rsid w:val="00A45B98"/>
    <w:rsid w:val="00A45D8B"/>
    <w:rsid w:val="00A4652B"/>
    <w:rsid w:val="00A465B5"/>
    <w:rsid w:val="00A46A5D"/>
    <w:rsid w:val="00A46D0B"/>
    <w:rsid w:val="00A46D2A"/>
    <w:rsid w:val="00A470BE"/>
    <w:rsid w:val="00A47397"/>
    <w:rsid w:val="00A4767A"/>
    <w:rsid w:val="00A47699"/>
    <w:rsid w:val="00A47B20"/>
    <w:rsid w:val="00A47F12"/>
    <w:rsid w:val="00A50548"/>
    <w:rsid w:val="00A50EE1"/>
    <w:rsid w:val="00A5159E"/>
    <w:rsid w:val="00A515D2"/>
    <w:rsid w:val="00A51F7E"/>
    <w:rsid w:val="00A52100"/>
    <w:rsid w:val="00A522C8"/>
    <w:rsid w:val="00A52FB6"/>
    <w:rsid w:val="00A5310E"/>
    <w:rsid w:val="00A5320A"/>
    <w:rsid w:val="00A5321B"/>
    <w:rsid w:val="00A53D97"/>
    <w:rsid w:val="00A54493"/>
    <w:rsid w:val="00A54531"/>
    <w:rsid w:val="00A54636"/>
    <w:rsid w:val="00A5467F"/>
    <w:rsid w:val="00A55BEB"/>
    <w:rsid w:val="00A55D65"/>
    <w:rsid w:val="00A569A0"/>
    <w:rsid w:val="00A56A10"/>
    <w:rsid w:val="00A570F1"/>
    <w:rsid w:val="00A5757F"/>
    <w:rsid w:val="00A5775E"/>
    <w:rsid w:val="00A6025D"/>
    <w:rsid w:val="00A60539"/>
    <w:rsid w:val="00A6055B"/>
    <w:rsid w:val="00A617C8"/>
    <w:rsid w:val="00A62753"/>
    <w:rsid w:val="00A62F2A"/>
    <w:rsid w:val="00A642A6"/>
    <w:rsid w:val="00A650DD"/>
    <w:rsid w:val="00A65819"/>
    <w:rsid w:val="00A66EEC"/>
    <w:rsid w:val="00A6744D"/>
    <w:rsid w:val="00A6768D"/>
    <w:rsid w:val="00A679D6"/>
    <w:rsid w:val="00A67B4C"/>
    <w:rsid w:val="00A67EE8"/>
    <w:rsid w:val="00A70512"/>
    <w:rsid w:val="00A70554"/>
    <w:rsid w:val="00A70590"/>
    <w:rsid w:val="00A706E0"/>
    <w:rsid w:val="00A714F5"/>
    <w:rsid w:val="00A71757"/>
    <w:rsid w:val="00A721DA"/>
    <w:rsid w:val="00A726F1"/>
    <w:rsid w:val="00A72D7E"/>
    <w:rsid w:val="00A72EF2"/>
    <w:rsid w:val="00A730CE"/>
    <w:rsid w:val="00A730E4"/>
    <w:rsid w:val="00A73B79"/>
    <w:rsid w:val="00A73F98"/>
    <w:rsid w:val="00A740FA"/>
    <w:rsid w:val="00A742DF"/>
    <w:rsid w:val="00A74448"/>
    <w:rsid w:val="00A746D1"/>
    <w:rsid w:val="00A748ED"/>
    <w:rsid w:val="00A74947"/>
    <w:rsid w:val="00A749F3"/>
    <w:rsid w:val="00A74FE2"/>
    <w:rsid w:val="00A751B6"/>
    <w:rsid w:val="00A760E8"/>
    <w:rsid w:val="00A76423"/>
    <w:rsid w:val="00A76573"/>
    <w:rsid w:val="00A76821"/>
    <w:rsid w:val="00A7695C"/>
    <w:rsid w:val="00A77461"/>
    <w:rsid w:val="00A7776E"/>
    <w:rsid w:val="00A804BD"/>
    <w:rsid w:val="00A808FA"/>
    <w:rsid w:val="00A80FAA"/>
    <w:rsid w:val="00A81E51"/>
    <w:rsid w:val="00A8258A"/>
    <w:rsid w:val="00A834DC"/>
    <w:rsid w:val="00A836DF"/>
    <w:rsid w:val="00A837AB"/>
    <w:rsid w:val="00A83A5E"/>
    <w:rsid w:val="00A83CE0"/>
    <w:rsid w:val="00A83D62"/>
    <w:rsid w:val="00A847E7"/>
    <w:rsid w:val="00A84C22"/>
    <w:rsid w:val="00A85097"/>
    <w:rsid w:val="00A854C4"/>
    <w:rsid w:val="00A86365"/>
    <w:rsid w:val="00A87762"/>
    <w:rsid w:val="00A87A32"/>
    <w:rsid w:val="00A87DB8"/>
    <w:rsid w:val="00A87F87"/>
    <w:rsid w:val="00A91167"/>
    <w:rsid w:val="00A91181"/>
    <w:rsid w:val="00A91218"/>
    <w:rsid w:val="00A91A24"/>
    <w:rsid w:val="00A925A9"/>
    <w:rsid w:val="00A92FBE"/>
    <w:rsid w:val="00A93170"/>
    <w:rsid w:val="00A93453"/>
    <w:rsid w:val="00A934C5"/>
    <w:rsid w:val="00A9363C"/>
    <w:rsid w:val="00A94185"/>
    <w:rsid w:val="00A941A2"/>
    <w:rsid w:val="00A94305"/>
    <w:rsid w:val="00A9546C"/>
    <w:rsid w:val="00A9581E"/>
    <w:rsid w:val="00A959DF"/>
    <w:rsid w:val="00A95D54"/>
    <w:rsid w:val="00A963B8"/>
    <w:rsid w:val="00A96A41"/>
    <w:rsid w:val="00A96C90"/>
    <w:rsid w:val="00A96D07"/>
    <w:rsid w:val="00A972CF"/>
    <w:rsid w:val="00A977D6"/>
    <w:rsid w:val="00AA00D0"/>
    <w:rsid w:val="00AA0143"/>
    <w:rsid w:val="00AA0245"/>
    <w:rsid w:val="00AA02FB"/>
    <w:rsid w:val="00AA08B1"/>
    <w:rsid w:val="00AA0C4B"/>
    <w:rsid w:val="00AA0DFE"/>
    <w:rsid w:val="00AA104D"/>
    <w:rsid w:val="00AA13BE"/>
    <w:rsid w:val="00AA1736"/>
    <w:rsid w:val="00AA26AB"/>
    <w:rsid w:val="00AA2956"/>
    <w:rsid w:val="00AA2DE6"/>
    <w:rsid w:val="00AA3C4D"/>
    <w:rsid w:val="00AA3CAC"/>
    <w:rsid w:val="00AA4D33"/>
    <w:rsid w:val="00AA4E8B"/>
    <w:rsid w:val="00AA5622"/>
    <w:rsid w:val="00AA5DBB"/>
    <w:rsid w:val="00AA6666"/>
    <w:rsid w:val="00AA6987"/>
    <w:rsid w:val="00AA72ED"/>
    <w:rsid w:val="00AA7363"/>
    <w:rsid w:val="00AA7D77"/>
    <w:rsid w:val="00AB0271"/>
    <w:rsid w:val="00AB06A0"/>
    <w:rsid w:val="00AB06AB"/>
    <w:rsid w:val="00AB0B86"/>
    <w:rsid w:val="00AB0CCE"/>
    <w:rsid w:val="00AB108B"/>
    <w:rsid w:val="00AB15B3"/>
    <w:rsid w:val="00AB19F7"/>
    <w:rsid w:val="00AB2582"/>
    <w:rsid w:val="00AB25F9"/>
    <w:rsid w:val="00AB2CB8"/>
    <w:rsid w:val="00AB2EC6"/>
    <w:rsid w:val="00AB3485"/>
    <w:rsid w:val="00AB3826"/>
    <w:rsid w:val="00AB4074"/>
    <w:rsid w:val="00AB42A7"/>
    <w:rsid w:val="00AB45A1"/>
    <w:rsid w:val="00AB460D"/>
    <w:rsid w:val="00AB4BB7"/>
    <w:rsid w:val="00AB4C78"/>
    <w:rsid w:val="00AB5331"/>
    <w:rsid w:val="00AB598C"/>
    <w:rsid w:val="00AB6A00"/>
    <w:rsid w:val="00AB6DF8"/>
    <w:rsid w:val="00AC0196"/>
    <w:rsid w:val="00AC0585"/>
    <w:rsid w:val="00AC0A20"/>
    <w:rsid w:val="00AC1184"/>
    <w:rsid w:val="00AC1E9B"/>
    <w:rsid w:val="00AC1F86"/>
    <w:rsid w:val="00AC2144"/>
    <w:rsid w:val="00AC2A5C"/>
    <w:rsid w:val="00AC3043"/>
    <w:rsid w:val="00AC32B1"/>
    <w:rsid w:val="00AC3907"/>
    <w:rsid w:val="00AC3B25"/>
    <w:rsid w:val="00AC3BBF"/>
    <w:rsid w:val="00AC4078"/>
    <w:rsid w:val="00AC5404"/>
    <w:rsid w:val="00AC5CF0"/>
    <w:rsid w:val="00AC5D60"/>
    <w:rsid w:val="00AC66C7"/>
    <w:rsid w:val="00AC678F"/>
    <w:rsid w:val="00AC79EF"/>
    <w:rsid w:val="00AC7CBA"/>
    <w:rsid w:val="00AD05FB"/>
    <w:rsid w:val="00AD08BB"/>
    <w:rsid w:val="00AD0993"/>
    <w:rsid w:val="00AD22EA"/>
    <w:rsid w:val="00AD26F1"/>
    <w:rsid w:val="00AD3566"/>
    <w:rsid w:val="00AD40B6"/>
    <w:rsid w:val="00AD4CD0"/>
    <w:rsid w:val="00AD4D68"/>
    <w:rsid w:val="00AD5139"/>
    <w:rsid w:val="00AD59EE"/>
    <w:rsid w:val="00AD6427"/>
    <w:rsid w:val="00AD778F"/>
    <w:rsid w:val="00AD79B7"/>
    <w:rsid w:val="00AD7C26"/>
    <w:rsid w:val="00AE1284"/>
    <w:rsid w:val="00AE17F1"/>
    <w:rsid w:val="00AE2CE4"/>
    <w:rsid w:val="00AE2D7D"/>
    <w:rsid w:val="00AE3298"/>
    <w:rsid w:val="00AE3A60"/>
    <w:rsid w:val="00AE3D17"/>
    <w:rsid w:val="00AE3D71"/>
    <w:rsid w:val="00AE3E96"/>
    <w:rsid w:val="00AE4A82"/>
    <w:rsid w:val="00AE63A2"/>
    <w:rsid w:val="00AE694F"/>
    <w:rsid w:val="00AE69C2"/>
    <w:rsid w:val="00AE6B4F"/>
    <w:rsid w:val="00AE6C01"/>
    <w:rsid w:val="00AE7B6B"/>
    <w:rsid w:val="00AF02EB"/>
    <w:rsid w:val="00AF05EC"/>
    <w:rsid w:val="00AF0CD2"/>
    <w:rsid w:val="00AF0D7C"/>
    <w:rsid w:val="00AF11AA"/>
    <w:rsid w:val="00AF21BD"/>
    <w:rsid w:val="00AF26F1"/>
    <w:rsid w:val="00AF2DD8"/>
    <w:rsid w:val="00AF2EDB"/>
    <w:rsid w:val="00AF35D9"/>
    <w:rsid w:val="00AF3A7D"/>
    <w:rsid w:val="00AF441E"/>
    <w:rsid w:val="00AF45D7"/>
    <w:rsid w:val="00AF48C2"/>
    <w:rsid w:val="00AF5287"/>
    <w:rsid w:val="00AF54A1"/>
    <w:rsid w:val="00AF5948"/>
    <w:rsid w:val="00AF5B3E"/>
    <w:rsid w:val="00AF5CAF"/>
    <w:rsid w:val="00AF6E52"/>
    <w:rsid w:val="00AF7ABF"/>
    <w:rsid w:val="00B0037B"/>
    <w:rsid w:val="00B01169"/>
    <w:rsid w:val="00B02146"/>
    <w:rsid w:val="00B021D4"/>
    <w:rsid w:val="00B021DA"/>
    <w:rsid w:val="00B02C18"/>
    <w:rsid w:val="00B02C88"/>
    <w:rsid w:val="00B02FA6"/>
    <w:rsid w:val="00B0364F"/>
    <w:rsid w:val="00B0389B"/>
    <w:rsid w:val="00B04393"/>
    <w:rsid w:val="00B04DC7"/>
    <w:rsid w:val="00B055BC"/>
    <w:rsid w:val="00B058A4"/>
    <w:rsid w:val="00B05EE7"/>
    <w:rsid w:val="00B060E9"/>
    <w:rsid w:val="00B06D88"/>
    <w:rsid w:val="00B0715A"/>
    <w:rsid w:val="00B07AB7"/>
    <w:rsid w:val="00B10046"/>
    <w:rsid w:val="00B107BD"/>
    <w:rsid w:val="00B10842"/>
    <w:rsid w:val="00B10A0D"/>
    <w:rsid w:val="00B10CA8"/>
    <w:rsid w:val="00B10D18"/>
    <w:rsid w:val="00B12606"/>
    <w:rsid w:val="00B130AF"/>
    <w:rsid w:val="00B140C0"/>
    <w:rsid w:val="00B149A2"/>
    <w:rsid w:val="00B14BD2"/>
    <w:rsid w:val="00B1501C"/>
    <w:rsid w:val="00B158EA"/>
    <w:rsid w:val="00B15EC6"/>
    <w:rsid w:val="00B170C9"/>
    <w:rsid w:val="00B17226"/>
    <w:rsid w:val="00B172FE"/>
    <w:rsid w:val="00B174BF"/>
    <w:rsid w:val="00B1764A"/>
    <w:rsid w:val="00B20B96"/>
    <w:rsid w:val="00B21420"/>
    <w:rsid w:val="00B21465"/>
    <w:rsid w:val="00B21B47"/>
    <w:rsid w:val="00B229EA"/>
    <w:rsid w:val="00B22D80"/>
    <w:rsid w:val="00B2307C"/>
    <w:rsid w:val="00B2343A"/>
    <w:rsid w:val="00B236D1"/>
    <w:rsid w:val="00B23975"/>
    <w:rsid w:val="00B23EB6"/>
    <w:rsid w:val="00B24201"/>
    <w:rsid w:val="00B24283"/>
    <w:rsid w:val="00B25A2E"/>
    <w:rsid w:val="00B25A6A"/>
    <w:rsid w:val="00B25B05"/>
    <w:rsid w:val="00B25D0F"/>
    <w:rsid w:val="00B25E1D"/>
    <w:rsid w:val="00B25EE4"/>
    <w:rsid w:val="00B25F9B"/>
    <w:rsid w:val="00B25FF3"/>
    <w:rsid w:val="00B260F8"/>
    <w:rsid w:val="00B26628"/>
    <w:rsid w:val="00B26B0D"/>
    <w:rsid w:val="00B2782A"/>
    <w:rsid w:val="00B27B80"/>
    <w:rsid w:val="00B30708"/>
    <w:rsid w:val="00B308BD"/>
    <w:rsid w:val="00B319BD"/>
    <w:rsid w:val="00B32520"/>
    <w:rsid w:val="00B3254A"/>
    <w:rsid w:val="00B341A1"/>
    <w:rsid w:val="00B343D0"/>
    <w:rsid w:val="00B34AE7"/>
    <w:rsid w:val="00B34C46"/>
    <w:rsid w:val="00B34E8C"/>
    <w:rsid w:val="00B36B39"/>
    <w:rsid w:val="00B36B96"/>
    <w:rsid w:val="00B37C6B"/>
    <w:rsid w:val="00B40473"/>
    <w:rsid w:val="00B40906"/>
    <w:rsid w:val="00B41357"/>
    <w:rsid w:val="00B41C92"/>
    <w:rsid w:val="00B42419"/>
    <w:rsid w:val="00B432BD"/>
    <w:rsid w:val="00B43798"/>
    <w:rsid w:val="00B437AE"/>
    <w:rsid w:val="00B43A51"/>
    <w:rsid w:val="00B43E87"/>
    <w:rsid w:val="00B45552"/>
    <w:rsid w:val="00B45935"/>
    <w:rsid w:val="00B4649D"/>
    <w:rsid w:val="00B468A7"/>
    <w:rsid w:val="00B474B3"/>
    <w:rsid w:val="00B47551"/>
    <w:rsid w:val="00B4766A"/>
    <w:rsid w:val="00B47C8F"/>
    <w:rsid w:val="00B5098D"/>
    <w:rsid w:val="00B50ADD"/>
    <w:rsid w:val="00B50B95"/>
    <w:rsid w:val="00B5198D"/>
    <w:rsid w:val="00B51992"/>
    <w:rsid w:val="00B51B43"/>
    <w:rsid w:val="00B51C56"/>
    <w:rsid w:val="00B522D9"/>
    <w:rsid w:val="00B52F2B"/>
    <w:rsid w:val="00B52F6A"/>
    <w:rsid w:val="00B531F6"/>
    <w:rsid w:val="00B539B6"/>
    <w:rsid w:val="00B53F6F"/>
    <w:rsid w:val="00B540F9"/>
    <w:rsid w:val="00B54855"/>
    <w:rsid w:val="00B54F05"/>
    <w:rsid w:val="00B556F2"/>
    <w:rsid w:val="00B5571F"/>
    <w:rsid w:val="00B560BF"/>
    <w:rsid w:val="00B568AE"/>
    <w:rsid w:val="00B56F0C"/>
    <w:rsid w:val="00B570C3"/>
    <w:rsid w:val="00B5796A"/>
    <w:rsid w:val="00B57C43"/>
    <w:rsid w:val="00B60172"/>
    <w:rsid w:val="00B601FD"/>
    <w:rsid w:val="00B60B24"/>
    <w:rsid w:val="00B60C84"/>
    <w:rsid w:val="00B60EF3"/>
    <w:rsid w:val="00B61244"/>
    <w:rsid w:val="00B61ADD"/>
    <w:rsid w:val="00B61EDF"/>
    <w:rsid w:val="00B62104"/>
    <w:rsid w:val="00B62215"/>
    <w:rsid w:val="00B628A3"/>
    <w:rsid w:val="00B62B41"/>
    <w:rsid w:val="00B6303E"/>
    <w:rsid w:val="00B63251"/>
    <w:rsid w:val="00B63335"/>
    <w:rsid w:val="00B635A6"/>
    <w:rsid w:val="00B636A0"/>
    <w:rsid w:val="00B639F6"/>
    <w:rsid w:val="00B63B00"/>
    <w:rsid w:val="00B64712"/>
    <w:rsid w:val="00B65151"/>
    <w:rsid w:val="00B65969"/>
    <w:rsid w:val="00B659AC"/>
    <w:rsid w:val="00B66D89"/>
    <w:rsid w:val="00B66DEE"/>
    <w:rsid w:val="00B67898"/>
    <w:rsid w:val="00B67DDF"/>
    <w:rsid w:val="00B67F31"/>
    <w:rsid w:val="00B70469"/>
    <w:rsid w:val="00B7046E"/>
    <w:rsid w:val="00B70495"/>
    <w:rsid w:val="00B7078F"/>
    <w:rsid w:val="00B70D70"/>
    <w:rsid w:val="00B713E5"/>
    <w:rsid w:val="00B71696"/>
    <w:rsid w:val="00B72069"/>
    <w:rsid w:val="00B72512"/>
    <w:rsid w:val="00B726FF"/>
    <w:rsid w:val="00B72EEF"/>
    <w:rsid w:val="00B72F27"/>
    <w:rsid w:val="00B73364"/>
    <w:rsid w:val="00B7338A"/>
    <w:rsid w:val="00B73F7D"/>
    <w:rsid w:val="00B74042"/>
    <w:rsid w:val="00B746C9"/>
    <w:rsid w:val="00B748A3"/>
    <w:rsid w:val="00B74C49"/>
    <w:rsid w:val="00B74DF9"/>
    <w:rsid w:val="00B752B7"/>
    <w:rsid w:val="00B75967"/>
    <w:rsid w:val="00B75B96"/>
    <w:rsid w:val="00B75EE5"/>
    <w:rsid w:val="00B76101"/>
    <w:rsid w:val="00B76266"/>
    <w:rsid w:val="00B77B38"/>
    <w:rsid w:val="00B8210C"/>
    <w:rsid w:val="00B8254C"/>
    <w:rsid w:val="00B8257F"/>
    <w:rsid w:val="00B8313D"/>
    <w:rsid w:val="00B83654"/>
    <w:rsid w:val="00B837B7"/>
    <w:rsid w:val="00B83ABC"/>
    <w:rsid w:val="00B83E9D"/>
    <w:rsid w:val="00B84449"/>
    <w:rsid w:val="00B84C15"/>
    <w:rsid w:val="00B85066"/>
    <w:rsid w:val="00B853F9"/>
    <w:rsid w:val="00B86081"/>
    <w:rsid w:val="00B8611B"/>
    <w:rsid w:val="00B865FA"/>
    <w:rsid w:val="00B86708"/>
    <w:rsid w:val="00B8758A"/>
    <w:rsid w:val="00B903D6"/>
    <w:rsid w:val="00B90565"/>
    <w:rsid w:val="00B907D7"/>
    <w:rsid w:val="00B90BCE"/>
    <w:rsid w:val="00B90D7F"/>
    <w:rsid w:val="00B914A1"/>
    <w:rsid w:val="00B91973"/>
    <w:rsid w:val="00B91DA8"/>
    <w:rsid w:val="00B91DF7"/>
    <w:rsid w:val="00B91F50"/>
    <w:rsid w:val="00B9226F"/>
    <w:rsid w:val="00B9257B"/>
    <w:rsid w:val="00B9290B"/>
    <w:rsid w:val="00B93834"/>
    <w:rsid w:val="00B9385C"/>
    <w:rsid w:val="00B93925"/>
    <w:rsid w:val="00B9488E"/>
    <w:rsid w:val="00B94945"/>
    <w:rsid w:val="00B95364"/>
    <w:rsid w:val="00B95D7C"/>
    <w:rsid w:val="00B9635E"/>
    <w:rsid w:val="00B96701"/>
    <w:rsid w:val="00B96C77"/>
    <w:rsid w:val="00B96F7F"/>
    <w:rsid w:val="00B96FEA"/>
    <w:rsid w:val="00B97BD2"/>
    <w:rsid w:val="00B97CD2"/>
    <w:rsid w:val="00BA02DF"/>
    <w:rsid w:val="00BA02FD"/>
    <w:rsid w:val="00BA0D98"/>
    <w:rsid w:val="00BA1EC1"/>
    <w:rsid w:val="00BA2042"/>
    <w:rsid w:val="00BA20A7"/>
    <w:rsid w:val="00BA20DC"/>
    <w:rsid w:val="00BA3C25"/>
    <w:rsid w:val="00BA4239"/>
    <w:rsid w:val="00BA4CF6"/>
    <w:rsid w:val="00BA4D7A"/>
    <w:rsid w:val="00BA5099"/>
    <w:rsid w:val="00BA5B59"/>
    <w:rsid w:val="00BA5CA9"/>
    <w:rsid w:val="00BA6AA7"/>
    <w:rsid w:val="00BA701C"/>
    <w:rsid w:val="00BA7437"/>
    <w:rsid w:val="00BA76C8"/>
    <w:rsid w:val="00BA7A73"/>
    <w:rsid w:val="00BA7CC1"/>
    <w:rsid w:val="00BB04D7"/>
    <w:rsid w:val="00BB0638"/>
    <w:rsid w:val="00BB0961"/>
    <w:rsid w:val="00BB0A08"/>
    <w:rsid w:val="00BB1748"/>
    <w:rsid w:val="00BB2326"/>
    <w:rsid w:val="00BB28A8"/>
    <w:rsid w:val="00BB295A"/>
    <w:rsid w:val="00BB3054"/>
    <w:rsid w:val="00BB30A7"/>
    <w:rsid w:val="00BB3443"/>
    <w:rsid w:val="00BB50DC"/>
    <w:rsid w:val="00BB563A"/>
    <w:rsid w:val="00BB5D37"/>
    <w:rsid w:val="00BB6260"/>
    <w:rsid w:val="00BB6C7E"/>
    <w:rsid w:val="00BB7249"/>
    <w:rsid w:val="00BB7283"/>
    <w:rsid w:val="00BB79E9"/>
    <w:rsid w:val="00BB7EC2"/>
    <w:rsid w:val="00BC03A3"/>
    <w:rsid w:val="00BC06E3"/>
    <w:rsid w:val="00BC1224"/>
    <w:rsid w:val="00BC13A2"/>
    <w:rsid w:val="00BC1716"/>
    <w:rsid w:val="00BC1BB0"/>
    <w:rsid w:val="00BC1DCE"/>
    <w:rsid w:val="00BC2096"/>
    <w:rsid w:val="00BC300A"/>
    <w:rsid w:val="00BC35F4"/>
    <w:rsid w:val="00BC3BA4"/>
    <w:rsid w:val="00BC3E28"/>
    <w:rsid w:val="00BC3F92"/>
    <w:rsid w:val="00BC4196"/>
    <w:rsid w:val="00BC4F84"/>
    <w:rsid w:val="00BC521D"/>
    <w:rsid w:val="00BC5AAA"/>
    <w:rsid w:val="00BC5D7A"/>
    <w:rsid w:val="00BC6004"/>
    <w:rsid w:val="00BC6130"/>
    <w:rsid w:val="00BC69EC"/>
    <w:rsid w:val="00BC7262"/>
    <w:rsid w:val="00BC73DE"/>
    <w:rsid w:val="00BC7A30"/>
    <w:rsid w:val="00BC7AED"/>
    <w:rsid w:val="00BD0110"/>
    <w:rsid w:val="00BD091F"/>
    <w:rsid w:val="00BD0BC0"/>
    <w:rsid w:val="00BD0FB8"/>
    <w:rsid w:val="00BD1CD6"/>
    <w:rsid w:val="00BD2742"/>
    <w:rsid w:val="00BD2B70"/>
    <w:rsid w:val="00BD3409"/>
    <w:rsid w:val="00BD3F7C"/>
    <w:rsid w:val="00BD444A"/>
    <w:rsid w:val="00BD46F5"/>
    <w:rsid w:val="00BD4A5E"/>
    <w:rsid w:val="00BD4BB7"/>
    <w:rsid w:val="00BD5E52"/>
    <w:rsid w:val="00BD6AAE"/>
    <w:rsid w:val="00BD7256"/>
    <w:rsid w:val="00BD756C"/>
    <w:rsid w:val="00BD758B"/>
    <w:rsid w:val="00BD7C6B"/>
    <w:rsid w:val="00BD7F9C"/>
    <w:rsid w:val="00BE01AC"/>
    <w:rsid w:val="00BE032A"/>
    <w:rsid w:val="00BE0A3B"/>
    <w:rsid w:val="00BE0DC4"/>
    <w:rsid w:val="00BE1378"/>
    <w:rsid w:val="00BE1B0D"/>
    <w:rsid w:val="00BE2A3A"/>
    <w:rsid w:val="00BE2F11"/>
    <w:rsid w:val="00BE33D1"/>
    <w:rsid w:val="00BE37D5"/>
    <w:rsid w:val="00BE6BED"/>
    <w:rsid w:val="00BE6CFD"/>
    <w:rsid w:val="00BE78BE"/>
    <w:rsid w:val="00BF09F5"/>
    <w:rsid w:val="00BF0C19"/>
    <w:rsid w:val="00BF104D"/>
    <w:rsid w:val="00BF1F0C"/>
    <w:rsid w:val="00BF2A1A"/>
    <w:rsid w:val="00BF2B38"/>
    <w:rsid w:val="00BF3CAE"/>
    <w:rsid w:val="00BF3F7C"/>
    <w:rsid w:val="00BF4506"/>
    <w:rsid w:val="00BF4604"/>
    <w:rsid w:val="00BF4996"/>
    <w:rsid w:val="00BF4C86"/>
    <w:rsid w:val="00BF4F32"/>
    <w:rsid w:val="00BF522B"/>
    <w:rsid w:val="00BF60DE"/>
    <w:rsid w:val="00BF6381"/>
    <w:rsid w:val="00BF683D"/>
    <w:rsid w:val="00BF6DC7"/>
    <w:rsid w:val="00C00135"/>
    <w:rsid w:val="00C0023E"/>
    <w:rsid w:val="00C00623"/>
    <w:rsid w:val="00C00AD0"/>
    <w:rsid w:val="00C00C9E"/>
    <w:rsid w:val="00C01179"/>
    <w:rsid w:val="00C01345"/>
    <w:rsid w:val="00C031A6"/>
    <w:rsid w:val="00C03263"/>
    <w:rsid w:val="00C038A4"/>
    <w:rsid w:val="00C03947"/>
    <w:rsid w:val="00C03BAB"/>
    <w:rsid w:val="00C03BEA"/>
    <w:rsid w:val="00C03E72"/>
    <w:rsid w:val="00C03FF5"/>
    <w:rsid w:val="00C04425"/>
    <w:rsid w:val="00C04DC6"/>
    <w:rsid w:val="00C05996"/>
    <w:rsid w:val="00C060E9"/>
    <w:rsid w:val="00C0617F"/>
    <w:rsid w:val="00C06462"/>
    <w:rsid w:val="00C0647C"/>
    <w:rsid w:val="00C06742"/>
    <w:rsid w:val="00C06DF4"/>
    <w:rsid w:val="00C06E1A"/>
    <w:rsid w:val="00C06E74"/>
    <w:rsid w:val="00C07314"/>
    <w:rsid w:val="00C0768F"/>
    <w:rsid w:val="00C078DD"/>
    <w:rsid w:val="00C1082D"/>
    <w:rsid w:val="00C108ED"/>
    <w:rsid w:val="00C10D38"/>
    <w:rsid w:val="00C115B5"/>
    <w:rsid w:val="00C11BC0"/>
    <w:rsid w:val="00C13F6B"/>
    <w:rsid w:val="00C14835"/>
    <w:rsid w:val="00C1490F"/>
    <w:rsid w:val="00C14C26"/>
    <w:rsid w:val="00C151B2"/>
    <w:rsid w:val="00C15295"/>
    <w:rsid w:val="00C1556C"/>
    <w:rsid w:val="00C15B8C"/>
    <w:rsid w:val="00C15F68"/>
    <w:rsid w:val="00C1680B"/>
    <w:rsid w:val="00C17C90"/>
    <w:rsid w:val="00C17D44"/>
    <w:rsid w:val="00C20248"/>
    <w:rsid w:val="00C20AFA"/>
    <w:rsid w:val="00C20E40"/>
    <w:rsid w:val="00C21170"/>
    <w:rsid w:val="00C21E46"/>
    <w:rsid w:val="00C228E4"/>
    <w:rsid w:val="00C232B1"/>
    <w:rsid w:val="00C238D6"/>
    <w:rsid w:val="00C23D5E"/>
    <w:rsid w:val="00C241ED"/>
    <w:rsid w:val="00C247E2"/>
    <w:rsid w:val="00C24B2B"/>
    <w:rsid w:val="00C2539C"/>
    <w:rsid w:val="00C26085"/>
    <w:rsid w:val="00C2625C"/>
    <w:rsid w:val="00C262DA"/>
    <w:rsid w:val="00C26C05"/>
    <w:rsid w:val="00C26C42"/>
    <w:rsid w:val="00C2781C"/>
    <w:rsid w:val="00C30AA5"/>
    <w:rsid w:val="00C30F98"/>
    <w:rsid w:val="00C31098"/>
    <w:rsid w:val="00C31AA0"/>
    <w:rsid w:val="00C31F0A"/>
    <w:rsid w:val="00C326F8"/>
    <w:rsid w:val="00C33EE1"/>
    <w:rsid w:val="00C351AC"/>
    <w:rsid w:val="00C35BE0"/>
    <w:rsid w:val="00C367B1"/>
    <w:rsid w:val="00C371B2"/>
    <w:rsid w:val="00C379BB"/>
    <w:rsid w:val="00C37C37"/>
    <w:rsid w:val="00C40D21"/>
    <w:rsid w:val="00C40D35"/>
    <w:rsid w:val="00C41039"/>
    <w:rsid w:val="00C41A6B"/>
    <w:rsid w:val="00C41A9C"/>
    <w:rsid w:val="00C41F18"/>
    <w:rsid w:val="00C424D8"/>
    <w:rsid w:val="00C4257A"/>
    <w:rsid w:val="00C42C6A"/>
    <w:rsid w:val="00C43158"/>
    <w:rsid w:val="00C43888"/>
    <w:rsid w:val="00C43D5E"/>
    <w:rsid w:val="00C43EE1"/>
    <w:rsid w:val="00C4479F"/>
    <w:rsid w:val="00C451F6"/>
    <w:rsid w:val="00C45732"/>
    <w:rsid w:val="00C46068"/>
    <w:rsid w:val="00C46374"/>
    <w:rsid w:val="00C46994"/>
    <w:rsid w:val="00C46D73"/>
    <w:rsid w:val="00C46DEE"/>
    <w:rsid w:val="00C46E28"/>
    <w:rsid w:val="00C472B4"/>
    <w:rsid w:val="00C47E82"/>
    <w:rsid w:val="00C50D5B"/>
    <w:rsid w:val="00C51923"/>
    <w:rsid w:val="00C51E11"/>
    <w:rsid w:val="00C51E97"/>
    <w:rsid w:val="00C524B7"/>
    <w:rsid w:val="00C535F1"/>
    <w:rsid w:val="00C53EAE"/>
    <w:rsid w:val="00C53F41"/>
    <w:rsid w:val="00C54056"/>
    <w:rsid w:val="00C54410"/>
    <w:rsid w:val="00C54699"/>
    <w:rsid w:val="00C548BF"/>
    <w:rsid w:val="00C54B22"/>
    <w:rsid w:val="00C54DDF"/>
    <w:rsid w:val="00C5597A"/>
    <w:rsid w:val="00C56A43"/>
    <w:rsid w:val="00C603BA"/>
    <w:rsid w:val="00C6054A"/>
    <w:rsid w:val="00C60B75"/>
    <w:rsid w:val="00C614B9"/>
    <w:rsid w:val="00C6229A"/>
    <w:rsid w:val="00C62589"/>
    <w:rsid w:val="00C6282D"/>
    <w:rsid w:val="00C6357E"/>
    <w:rsid w:val="00C63878"/>
    <w:rsid w:val="00C64196"/>
    <w:rsid w:val="00C6431C"/>
    <w:rsid w:val="00C64664"/>
    <w:rsid w:val="00C64F11"/>
    <w:rsid w:val="00C659F5"/>
    <w:rsid w:val="00C66B5F"/>
    <w:rsid w:val="00C6791E"/>
    <w:rsid w:val="00C67998"/>
    <w:rsid w:val="00C67C3B"/>
    <w:rsid w:val="00C70079"/>
    <w:rsid w:val="00C70587"/>
    <w:rsid w:val="00C708C8"/>
    <w:rsid w:val="00C70B62"/>
    <w:rsid w:val="00C70C08"/>
    <w:rsid w:val="00C70C79"/>
    <w:rsid w:val="00C71875"/>
    <w:rsid w:val="00C71A0F"/>
    <w:rsid w:val="00C71BEE"/>
    <w:rsid w:val="00C71F22"/>
    <w:rsid w:val="00C725F3"/>
    <w:rsid w:val="00C72A43"/>
    <w:rsid w:val="00C72FE8"/>
    <w:rsid w:val="00C73187"/>
    <w:rsid w:val="00C73525"/>
    <w:rsid w:val="00C7363A"/>
    <w:rsid w:val="00C73818"/>
    <w:rsid w:val="00C7459A"/>
    <w:rsid w:val="00C74A6B"/>
    <w:rsid w:val="00C74B7A"/>
    <w:rsid w:val="00C74B9B"/>
    <w:rsid w:val="00C755C8"/>
    <w:rsid w:val="00C75798"/>
    <w:rsid w:val="00C75C78"/>
    <w:rsid w:val="00C80609"/>
    <w:rsid w:val="00C80831"/>
    <w:rsid w:val="00C80F5A"/>
    <w:rsid w:val="00C81A4D"/>
    <w:rsid w:val="00C81AAC"/>
    <w:rsid w:val="00C82012"/>
    <w:rsid w:val="00C82D0B"/>
    <w:rsid w:val="00C82F13"/>
    <w:rsid w:val="00C84349"/>
    <w:rsid w:val="00C845B0"/>
    <w:rsid w:val="00C84AF2"/>
    <w:rsid w:val="00C84DD3"/>
    <w:rsid w:val="00C85214"/>
    <w:rsid w:val="00C8567D"/>
    <w:rsid w:val="00C86074"/>
    <w:rsid w:val="00C86113"/>
    <w:rsid w:val="00C864DE"/>
    <w:rsid w:val="00C8662D"/>
    <w:rsid w:val="00C86714"/>
    <w:rsid w:val="00C869F1"/>
    <w:rsid w:val="00C873C0"/>
    <w:rsid w:val="00C87522"/>
    <w:rsid w:val="00C87A5F"/>
    <w:rsid w:val="00C9063C"/>
    <w:rsid w:val="00C906E8"/>
    <w:rsid w:val="00C9086C"/>
    <w:rsid w:val="00C90CA8"/>
    <w:rsid w:val="00C90D14"/>
    <w:rsid w:val="00C91291"/>
    <w:rsid w:val="00C91935"/>
    <w:rsid w:val="00C9194F"/>
    <w:rsid w:val="00C91B19"/>
    <w:rsid w:val="00C91BC2"/>
    <w:rsid w:val="00C9251D"/>
    <w:rsid w:val="00C925F1"/>
    <w:rsid w:val="00C92622"/>
    <w:rsid w:val="00C92F20"/>
    <w:rsid w:val="00C93106"/>
    <w:rsid w:val="00C935AB"/>
    <w:rsid w:val="00C953A6"/>
    <w:rsid w:val="00C95649"/>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A75"/>
    <w:rsid w:val="00CA3D93"/>
    <w:rsid w:val="00CA4427"/>
    <w:rsid w:val="00CA4A12"/>
    <w:rsid w:val="00CA5E62"/>
    <w:rsid w:val="00CA61E9"/>
    <w:rsid w:val="00CA6281"/>
    <w:rsid w:val="00CA6F31"/>
    <w:rsid w:val="00CA7A23"/>
    <w:rsid w:val="00CA7BA1"/>
    <w:rsid w:val="00CB0198"/>
    <w:rsid w:val="00CB0596"/>
    <w:rsid w:val="00CB0936"/>
    <w:rsid w:val="00CB17AC"/>
    <w:rsid w:val="00CB1CF3"/>
    <w:rsid w:val="00CB1FBF"/>
    <w:rsid w:val="00CB2479"/>
    <w:rsid w:val="00CB25C3"/>
    <w:rsid w:val="00CB2678"/>
    <w:rsid w:val="00CB3647"/>
    <w:rsid w:val="00CB3CB6"/>
    <w:rsid w:val="00CB471D"/>
    <w:rsid w:val="00CB4920"/>
    <w:rsid w:val="00CB4A0D"/>
    <w:rsid w:val="00CB4C84"/>
    <w:rsid w:val="00CB4CCC"/>
    <w:rsid w:val="00CB4D50"/>
    <w:rsid w:val="00CB5042"/>
    <w:rsid w:val="00CB577F"/>
    <w:rsid w:val="00CB5860"/>
    <w:rsid w:val="00CB5C9E"/>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913"/>
    <w:rsid w:val="00CC1F95"/>
    <w:rsid w:val="00CC2264"/>
    <w:rsid w:val="00CC285F"/>
    <w:rsid w:val="00CC28F6"/>
    <w:rsid w:val="00CC36E5"/>
    <w:rsid w:val="00CC45A1"/>
    <w:rsid w:val="00CC4B4C"/>
    <w:rsid w:val="00CC4DB7"/>
    <w:rsid w:val="00CC4F91"/>
    <w:rsid w:val="00CC5200"/>
    <w:rsid w:val="00CC543B"/>
    <w:rsid w:val="00CC6049"/>
    <w:rsid w:val="00CC691D"/>
    <w:rsid w:val="00CC6A55"/>
    <w:rsid w:val="00CC6F9D"/>
    <w:rsid w:val="00CC7525"/>
    <w:rsid w:val="00CD030E"/>
    <w:rsid w:val="00CD03B6"/>
    <w:rsid w:val="00CD1365"/>
    <w:rsid w:val="00CD1727"/>
    <w:rsid w:val="00CD174F"/>
    <w:rsid w:val="00CD189E"/>
    <w:rsid w:val="00CD1954"/>
    <w:rsid w:val="00CD1B60"/>
    <w:rsid w:val="00CD1F26"/>
    <w:rsid w:val="00CD381C"/>
    <w:rsid w:val="00CD406B"/>
    <w:rsid w:val="00CD4CAC"/>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1688"/>
    <w:rsid w:val="00CE26CB"/>
    <w:rsid w:val="00CE2DAC"/>
    <w:rsid w:val="00CE39A3"/>
    <w:rsid w:val="00CE4386"/>
    <w:rsid w:val="00CE4D66"/>
    <w:rsid w:val="00CE4F0E"/>
    <w:rsid w:val="00CE5792"/>
    <w:rsid w:val="00CE5945"/>
    <w:rsid w:val="00CE5B25"/>
    <w:rsid w:val="00CE5FAF"/>
    <w:rsid w:val="00CE607A"/>
    <w:rsid w:val="00CE6E0B"/>
    <w:rsid w:val="00CE6EDF"/>
    <w:rsid w:val="00CE7BA6"/>
    <w:rsid w:val="00CF02D2"/>
    <w:rsid w:val="00CF04C6"/>
    <w:rsid w:val="00CF08A7"/>
    <w:rsid w:val="00CF0AED"/>
    <w:rsid w:val="00CF13D9"/>
    <w:rsid w:val="00CF268E"/>
    <w:rsid w:val="00CF3F2A"/>
    <w:rsid w:val="00CF55E1"/>
    <w:rsid w:val="00CF5887"/>
    <w:rsid w:val="00CF5E38"/>
    <w:rsid w:val="00CF5F01"/>
    <w:rsid w:val="00CF6471"/>
    <w:rsid w:val="00CF6650"/>
    <w:rsid w:val="00CF71B9"/>
    <w:rsid w:val="00CF7465"/>
    <w:rsid w:val="00CF7A57"/>
    <w:rsid w:val="00D000D2"/>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0F8E"/>
    <w:rsid w:val="00D11D61"/>
    <w:rsid w:val="00D12C1F"/>
    <w:rsid w:val="00D12E9D"/>
    <w:rsid w:val="00D12F23"/>
    <w:rsid w:val="00D12FBC"/>
    <w:rsid w:val="00D131C9"/>
    <w:rsid w:val="00D13E66"/>
    <w:rsid w:val="00D14558"/>
    <w:rsid w:val="00D150BF"/>
    <w:rsid w:val="00D1578F"/>
    <w:rsid w:val="00D158FE"/>
    <w:rsid w:val="00D16269"/>
    <w:rsid w:val="00D1632E"/>
    <w:rsid w:val="00D1654F"/>
    <w:rsid w:val="00D16A54"/>
    <w:rsid w:val="00D171E7"/>
    <w:rsid w:val="00D1789C"/>
    <w:rsid w:val="00D20784"/>
    <w:rsid w:val="00D207B0"/>
    <w:rsid w:val="00D20A3F"/>
    <w:rsid w:val="00D20E67"/>
    <w:rsid w:val="00D21113"/>
    <w:rsid w:val="00D21199"/>
    <w:rsid w:val="00D21E5F"/>
    <w:rsid w:val="00D223C4"/>
    <w:rsid w:val="00D22523"/>
    <w:rsid w:val="00D22A08"/>
    <w:rsid w:val="00D22B8A"/>
    <w:rsid w:val="00D23273"/>
    <w:rsid w:val="00D23A7E"/>
    <w:rsid w:val="00D23C15"/>
    <w:rsid w:val="00D2420E"/>
    <w:rsid w:val="00D25372"/>
    <w:rsid w:val="00D25F8C"/>
    <w:rsid w:val="00D26677"/>
    <w:rsid w:val="00D268FA"/>
    <w:rsid w:val="00D26D53"/>
    <w:rsid w:val="00D27839"/>
    <w:rsid w:val="00D304C9"/>
    <w:rsid w:val="00D30DB5"/>
    <w:rsid w:val="00D316BC"/>
    <w:rsid w:val="00D317E1"/>
    <w:rsid w:val="00D32399"/>
    <w:rsid w:val="00D32545"/>
    <w:rsid w:val="00D32BE1"/>
    <w:rsid w:val="00D32BF0"/>
    <w:rsid w:val="00D32DDA"/>
    <w:rsid w:val="00D330E1"/>
    <w:rsid w:val="00D33172"/>
    <w:rsid w:val="00D33810"/>
    <w:rsid w:val="00D33A96"/>
    <w:rsid w:val="00D352F2"/>
    <w:rsid w:val="00D35516"/>
    <w:rsid w:val="00D3575D"/>
    <w:rsid w:val="00D3583E"/>
    <w:rsid w:val="00D35A5D"/>
    <w:rsid w:val="00D35B76"/>
    <w:rsid w:val="00D363DD"/>
    <w:rsid w:val="00D36D8C"/>
    <w:rsid w:val="00D37AF6"/>
    <w:rsid w:val="00D404A2"/>
    <w:rsid w:val="00D40634"/>
    <w:rsid w:val="00D406BE"/>
    <w:rsid w:val="00D40773"/>
    <w:rsid w:val="00D408D5"/>
    <w:rsid w:val="00D40A9E"/>
    <w:rsid w:val="00D4151C"/>
    <w:rsid w:val="00D4152F"/>
    <w:rsid w:val="00D42650"/>
    <w:rsid w:val="00D426A7"/>
    <w:rsid w:val="00D42FB1"/>
    <w:rsid w:val="00D433EA"/>
    <w:rsid w:val="00D43642"/>
    <w:rsid w:val="00D43824"/>
    <w:rsid w:val="00D43A07"/>
    <w:rsid w:val="00D44CAB"/>
    <w:rsid w:val="00D45426"/>
    <w:rsid w:val="00D4556E"/>
    <w:rsid w:val="00D455B2"/>
    <w:rsid w:val="00D45AC2"/>
    <w:rsid w:val="00D45B6A"/>
    <w:rsid w:val="00D46127"/>
    <w:rsid w:val="00D46455"/>
    <w:rsid w:val="00D469F0"/>
    <w:rsid w:val="00D47053"/>
    <w:rsid w:val="00D476BE"/>
    <w:rsid w:val="00D47B7C"/>
    <w:rsid w:val="00D500E5"/>
    <w:rsid w:val="00D50457"/>
    <w:rsid w:val="00D507C8"/>
    <w:rsid w:val="00D50C83"/>
    <w:rsid w:val="00D50F64"/>
    <w:rsid w:val="00D51C45"/>
    <w:rsid w:val="00D52854"/>
    <w:rsid w:val="00D5364A"/>
    <w:rsid w:val="00D53814"/>
    <w:rsid w:val="00D53D9C"/>
    <w:rsid w:val="00D54630"/>
    <w:rsid w:val="00D546D6"/>
    <w:rsid w:val="00D5506F"/>
    <w:rsid w:val="00D552D0"/>
    <w:rsid w:val="00D553DB"/>
    <w:rsid w:val="00D56089"/>
    <w:rsid w:val="00D56BE0"/>
    <w:rsid w:val="00D5730D"/>
    <w:rsid w:val="00D574CD"/>
    <w:rsid w:val="00D57735"/>
    <w:rsid w:val="00D57CCF"/>
    <w:rsid w:val="00D57CDE"/>
    <w:rsid w:val="00D601AF"/>
    <w:rsid w:val="00D60FA3"/>
    <w:rsid w:val="00D6104F"/>
    <w:rsid w:val="00D61122"/>
    <w:rsid w:val="00D613B1"/>
    <w:rsid w:val="00D61773"/>
    <w:rsid w:val="00D61CCB"/>
    <w:rsid w:val="00D62763"/>
    <w:rsid w:val="00D62EA5"/>
    <w:rsid w:val="00D642C5"/>
    <w:rsid w:val="00D64776"/>
    <w:rsid w:val="00D64F74"/>
    <w:rsid w:val="00D6510C"/>
    <w:rsid w:val="00D651B8"/>
    <w:rsid w:val="00D65316"/>
    <w:rsid w:val="00D65B93"/>
    <w:rsid w:val="00D65CD7"/>
    <w:rsid w:val="00D6668C"/>
    <w:rsid w:val="00D66F5B"/>
    <w:rsid w:val="00D67FA4"/>
    <w:rsid w:val="00D70ED3"/>
    <w:rsid w:val="00D71001"/>
    <w:rsid w:val="00D72897"/>
    <w:rsid w:val="00D73567"/>
    <w:rsid w:val="00D73BCE"/>
    <w:rsid w:val="00D73F10"/>
    <w:rsid w:val="00D74342"/>
    <w:rsid w:val="00D7488B"/>
    <w:rsid w:val="00D7494E"/>
    <w:rsid w:val="00D74E6F"/>
    <w:rsid w:val="00D74E9A"/>
    <w:rsid w:val="00D74EBF"/>
    <w:rsid w:val="00D75AA6"/>
    <w:rsid w:val="00D75B43"/>
    <w:rsid w:val="00D75FC2"/>
    <w:rsid w:val="00D7656C"/>
    <w:rsid w:val="00D769F1"/>
    <w:rsid w:val="00D777F1"/>
    <w:rsid w:val="00D77E3A"/>
    <w:rsid w:val="00D80796"/>
    <w:rsid w:val="00D80CB5"/>
    <w:rsid w:val="00D80F61"/>
    <w:rsid w:val="00D811EA"/>
    <w:rsid w:val="00D818E2"/>
    <w:rsid w:val="00D824C3"/>
    <w:rsid w:val="00D82682"/>
    <w:rsid w:val="00D828AF"/>
    <w:rsid w:val="00D8290A"/>
    <w:rsid w:val="00D82C5E"/>
    <w:rsid w:val="00D830E2"/>
    <w:rsid w:val="00D847CD"/>
    <w:rsid w:val="00D84964"/>
    <w:rsid w:val="00D84EFD"/>
    <w:rsid w:val="00D8616B"/>
    <w:rsid w:val="00D86753"/>
    <w:rsid w:val="00D87205"/>
    <w:rsid w:val="00D8793A"/>
    <w:rsid w:val="00D87A70"/>
    <w:rsid w:val="00D904EF"/>
    <w:rsid w:val="00D914B7"/>
    <w:rsid w:val="00D918FF"/>
    <w:rsid w:val="00D91B86"/>
    <w:rsid w:val="00D91C47"/>
    <w:rsid w:val="00D91F1E"/>
    <w:rsid w:val="00D91FD3"/>
    <w:rsid w:val="00D9212B"/>
    <w:rsid w:val="00D921E2"/>
    <w:rsid w:val="00D92292"/>
    <w:rsid w:val="00D92427"/>
    <w:rsid w:val="00D924FA"/>
    <w:rsid w:val="00D92751"/>
    <w:rsid w:val="00D9304D"/>
    <w:rsid w:val="00D933DE"/>
    <w:rsid w:val="00D93D33"/>
    <w:rsid w:val="00D941C1"/>
    <w:rsid w:val="00D94B01"/>
    <w:rsid w:val="00D94E39"/>
    <w:rsid w:val="00D94F5B"/>
    <w:rsid w:val="00D94F67"/>
    <w:rsid w:val="00D954BC"/>
    <w:rsid w:val="00D95EEA"/>
    <w:rsid w:val="00D96D04"/>
    <w:rsid w:val="00D96FDA"/>
    <w:rsid w:val="00D971C6"/>
    <w:rsid w:val="00DA039B"/>
    <w:rsid w:val="00DA1514"/>
    <w:rsid w:val="00DA2CC2"/>
    <w:rsid w:val="00DA3272"/>
    <w:rsid w:val="00DA32D1"/>
    <w:rsid w:val="00DA388E"/>
    <w:rsid w:val="00DA3A25"/>
    <w:rsid w:val="00DA3CE4"/>
    <w:rsid w:val="00DA42D5"/>
    <w:rsid w:val="00DA4475"/>
    <w:rsid w:val="00DA4C40"/>
    <w:rsid w:val="00DA4E0E"/>
    <w:rsid w:val="00DA52C9"/>
    <w:rsid w:val="00DA5E36"/>
    <w:rsid w:val="00DA6BCF"/>
    <w:rsid w:val="00DA6C51"/>
    <w:rsid w:val="00DA73B7"/>
    <w:rsid w:val="00DA79A8"/>
    <w:rsid w:val="00DB0867"/>
    <w:rsid w:val="00DB0A8D"/>
    <w:rsid w:val="00DB0C3E"/>
    <w:rsid w:val="00DB0E9F"/>
    <w:rsid w:val="00DB116D"/>
    <w:rsid w:val="00DB1484"/>
    <w:rsid w:val="00DB1568"/>
    <w:rsid w:val="00DB2095"/>
    <w:rsid w:val="00DB2384"/>
    <w:rsid w:val="00DB2A2C"/>
    <w:rsid w:val="00DB2B25"/>
    <w:rsid w:val="00DB37B5"/>
    <w:rsid w:val="00DB37BD"/>
    <w:rsid w:val="00DB3955"/>
    <w:rsid w:val="00DB46C8"/>
    <w:rsid w:val="00DB4C03"/>
    <w:rsid w:val="00DB580A"/>
    <w:rsid w:val="00DB5BB3"/>
    <w:rsid w:val="00DB5C56"/>
    <w:rsid w:val="00DB678C"/>
    <w:rsid w:val="00DB70AA"/>
    <w:rsid w:val="00DB7297"/>
    <w:rsid w:val="00DB7416"/>
    <w:rsid w:val="00DB7648"/>
    <w:rsid w:val="00DB7ABE"/>
    <w:rsid w:val="00DC0052"/>
    <w:rsid w:val="00DC0280"/>
    <w:rsid w:val="00DC1D57"/>
    <w:rsid w:val="00DC227D"/>
    <w:rsid w:val="00DC276B"/>
    <w:rsid w:val="00DC27BC"/>
    <w:rsid w:val="00DC2816"/>
    <w:rsid w:val="00DC2DCD"/>
    <w:rsid w:val="00DC33BF"/>
    <w:rsid w:val="00DC4332"/>
    <w:rsid w:val="00DC45C5"/>
    <w:rsid w:val="00DC4940"/>
    <w:rsid w:val="00DC4F53"/>
    <w:rsid w:val="00DC5013"/>
    <w:rsid w:val="00DC50EF"/>
    <w:rsid w:val="00DC52D1"/>
    <w:rsid w:val="00DC5386"/>
    <w:rsid w:val="00DC5D3B"/>
    <w:rsid w:val="00DC6A65"/>
    <w:rsid w:val="00DC6D99"/>
    <w:rsid w:val="00DC73E3"/>
    <w:rsid w:val="00DC7450"/>
    <w:rsid w:val="00DC7640"/>
    <w:rsid w:val="00DC79FE"/>
    <w:rsid w:val="00DC7C2A"/>
    <w:rsid w:val="00DD025B"/>
    <w:rsid w:val="00DD05EA"/>
    <w:rsid w:val="00DD0A07"/>
    <w:rsid w:val="00DD0E75"/>
    <w:rsid w:val="00DD1411"/>
    <w:rsid w:val="00DD1875"/>
    <w:rsid w:val="00DD1BE0"/>
    <w:rsid w:val="00DD1F2F"/>
    <w:rsid w:val="00DD247E"/>
    <w:rsid w:val="00DD2511"/>
    <w:rsid w:val="00DD262C"/>
    <w:rsid w:val="00DD396D"/>
    <w:rsid w:val="00DD3B1A"/>
    <w:rsid w:val="00DD3BDA"/>
    <w:rsid w:val="00DD49EB"/>
    <w:rsid w:val="00DD5105"/>
    <w:rsid w:val="00DD52E0"/>
    <w:rsid w:val="00DD591F"/>
    <w:rsid w:val="00DD61B5"/>
    <w:rsid w:val="00DD63F9"/>
    <w:rsid w:val="00DD655B"/>
    <w:rsid w:val="00DD65AC"/>
    <w:rsid w:val="00DD77EA"/>
    <w:rsid w:val="00DE1059"/>
    <w:rsid w:val="00DE1C8F"/>
    <w:rsid w:val="00DE21D6"/>
    <w:rsid w:val="00DE2241"/>
    <w:rsid w:val="00DE24DD"/>
    <w:rsid w:val="00DE27FE"/>
    <w:rsid w:val="00DE2A2E"/>
    <w:rsid w:val="00DE2B9C"/>
    <w:rsid w:val="00DE2D02"/>
    <w:rsid w:val="00DE39D5"/>
    <w:rsid w:val="00DE3FCC"/>
    <w:rsid w:val="00DE49A2"/>
    <w:rsid w:val="00DE49E3"/>
    <w:rsid w:val="00DE51A9"/>
    <w:rsid w:val="00DE54C0"/>
    <w:rsid w:val="00DE58DF"/>
    <w:rsid w:val="00DE5C36"/>
    <w:rsid w:val="00DE5F5B"/>
    <w:rsid w:val="00DE654C"/>
    <w:rsid w:val="00DE736F"/>
    <w:rsid w:val="00DE73B3"/>
    <w:rsid w:val="00DF00A3"/>
    <w:rsid w:val="00DF01B7"/>
    <w:rsid w:val="00DF04E8"/>
    <w:rsid w:val="00DF157D"/>
    <w:rsid w:val="00DF17A0"/>
    <w:rsid w:val="00DF2565"/>
    <w:rsid w:val="00DF2931"/>
    <w:rsid w:val="00DF2B2C"/>
    <w:rsid w:val="00DF384B"/>
    <w:rsid w:val="00DF4946"/>
    <w:rsid w:val="00DF4A23"/>
    <w:rsid w:val="00DF4B17"/>
    <w:rsid w:val="00DF523F"/>
    <w:rsid w:val="00DF53EF"/>
    <w:rsid w:val="00DF582F"/>
    <w:rsid w:val="00DF5B8F"/>
    <w:rsid w:val="00DF6206"/>
    <w:rsid w:val="00DF66AA"/>
    <w:rsid w:val="00DF74A8"/>
    <w:rsid w:val="00DF7864"/>
    <w:rsid w:val="00E00062"/>
    <w:rsid w:val="00E00386"/>
    <w:rsid w:val="00E007F3"/>
    <w:rsid w:val="00E013BE"/>
    <w:rsid w:val="00E02E43"/>
    <w:rsid w:val="00E03C94"/>
    <w:rsid w:val="00E040F4"/>
    <w:rsid w:val="00E04B74"/>
    <w:rsid w:val="00E05200"/>
    <w:rsid w:val="00E05C4C"/>
    <w:rsid w:val="00E05FE1"/>
    <w:rsid w:val="00E064DB"/>
    <w:rsid w:val="00E07153"/>
    <w:rsid w:val="00E07930"/>
    <w:rsid w:val="00E07EA4"/>
    <w:rsid w:val="00E10175"/>
    <w:rsid w:val="00E105A1"/>
    <w:rsid w:val="00E11FF8"/>
    <w:rsid w:val="00E121D9"/>
    <w:rsid w:val="00E122C6"/>
    <w:rsid w:val="00E130A4"/>
    <w:rsid w:val="00E13162"/>
    <w:rsid w:val="00E13263"/>
    <w:rsid w:val="00E132E5"/>
    <w:rsid w:val="00E133D9"/>
    <w:rsid w:val="00E1351A"/>
    <w:rsid w:val="00E13F4B"/>
    <w:rsid w:val="00E140B7"/>
    <w:rsid w:val="00E14EA2"/>
    <w:rsid w:val="00E157D2"/>
    <w:rsid w:val="00E1590F"/>
    <w:rsid w:val="00E15A13"/>
    <w:rsid w:val="00E165B8"/>
    <w:rsid w:val="00E16618"/>
    <w:rsid w:val="00E179DF"/>
    <w:rsid w:val="00E17DC1"/>
    <w:rsid w:val="00E20458"/>
    <w:rsid w:val="00E2055C"/>
    <w:rsid w:val="00E2162B"/>
    <w:rsid w:val="00E2214A"/>
    <w:rsid w:val="00E22434"/>
    <w:rsid w:val="00E228AA"/>
    <w:rsid w:val="00E22A88"/>
    <w:rsid w:val="00E22BB9"/>
    <w:rsid w:val="00E2323B"/>
    <w:rsid w:val="00E235B2"/>
    <w:rsid w:val="00E23FB9"/>
    <w:rsid w:val="00E24188"/>
    <w:rsid w:val="00E24910"/>
    <w:rsid w:val="00E24CE7"/>
    <w:rsid w:val="00E256B4"/>
    <w:rsid w:val="00E25AB7"/>
    <w:rsid w:val="00E2607B"/>
    <w:rsid w:val="00E26430"/>
    <w:rsid w:val="00E267B3"/>
    <w:rsid w:val="00E26C42"/>
    <w:rsid w:val="00E26F99"/>
    <w:rsid w:val="00E26FAE"/>
    <w:rsid w:val="00E278E1"/>
    <w:rsid w:val="00E27A0A"/>
    <w:rsid w:val="00E301E5"/>
    <w:rsid w:val="00E30618"/>
    <w:rsid w:val="00E30B13"/>
    <w:rsid w:val="00E30CC7"/>
    <w:rsid w:val="00E310E7"/>
    <w:rsid w:val="00E311B7"/>
    <w:rsid w:val="00E3183F"/>
    <w:rsid w:val="00E32C18"/>
    <w:rsid w:val="00E32CD6"/>
    <w:rsid w:val="00E32F13"/>
    <w:rsid w:val="00E3320D"/>
    <w:rsid w:val="00E3328D"/>
    <w:rsid w:val="00E340AF"/>
    <w:rsid w:val="00E34469"/>
    <w:rsid w:val="00E346B8"/>
    <w:rsid w:val="00E34702"/>
    <w:rsid w:val="00E3545E"/>
    <w:rsid w:val="00E36D87"/>
    <w:rsid w:val="00E36F47"/>
    <w:rsid w:val="00E37FB4"/>
    <w:rsid w:val="00E40001"/>
    <w:rsid w:val="00E402D3"/>
    <w:rsid w:val="00E40B6B"/>
    <w:rsid w:val="00E40B7F"/>
    <w:rsid w:val="00E413AB"/>
    <w:rsid w:val="00E41791"/>
    <w:rsid w:val="00E41AA5"/>
    <w:rsid w:val="00E4268B"/>
    <w:rsid w:val="00E427F3"/>
    <w:rsid w:val="00E42CFF"/>
    <w:rsid w:val="00E42DAB"/>
    <w:rsid w:val="00E43872"/>
    <w:rsid w:val="00E43FA4"/>
    <w:rsid w:val="00E44B16"/>
    <w:rsid w:val="00E45796"/>
    <w:rsid w:val="00E4583E"/>
    <w:rsid w:val="00E45B01"/>
    <w:rsid w:val="00E4629D"/>
    <w:rsid w:val="00E476AD"/>
    <w:rsid w:val="00E478F6"/>
    <w:rsid w:val="00E47AAE"/>
    <w:rsid w:val="00E47DFF"/>
    <w:rsid w:val="00E51BD7"/>
    <w:rsid w:val="00E51C0A"/>
    <w:rsid w:val="00E5250D"/>
    <w:rsid w:val="00E53C49"/>
    <w:rsid w:val="00E5402F"/>
    <w:rsid w:val="00E54F14"/>
    <w:rsid w:val="00E558DD"/>
    <w:rsid w:val="00E56C46"/>
    <w:rsid w:val="00E56FD8"/>
    <w:rsid w:val="00E57C83"/>
    <w:rsid w:val="00E57E9D"/>
    <w:rsid w:val="00E57EEB"/>
    <w:rsid w:val="00E609F8"/>
    <w:rsid w:val="00E60D75"/>
    <w:rsid w:val="00E60E5F"/>
    <w:rsid w:val="00E61830"/>
    <w:rsid w:val="00E6257E"/>
    <w:rsid w:val="00E6301D"/>
    <w:rsid w:val="00E6318B"/>
    <w:rsid w:val="00E6369D"/>
    <w:rsid w:val="00E63A5A"/>
    <w:rsid w:val="00E63C5A"/>
    <w:rsid w:val="00E644A5"/>
    <w:rsid w:val="00E6453E"/>
    <w:rsid w:val="00E6531B"/>
    <w:rsid w:val="00E655A2"/>
    <w:rsid w:val="00E65FD0"/>
    <w:rsid w:val="00E66117"/>
    <w:rsid w:val="00E66199"/>
    <w:rsid w:val="00E6707B"/>
    <w:rsid w:val="00E67198"/>
    <w:rsid w:val="00E6738E"/>
    <w:rsid w:val="00E675CA"/>
    <w:rsid w:val="00E67B7B"/>
    <w:rsid w:val="00E70349"/>
    <w:rsid w:val="00E706A9"/>
    <w:rsid w:val="00E70961"/>
    <w:rsid w:val="00E70BC6"/>
    <w:rsid w:val="00E70D55"/>
    <w:rsid w:val="00E7139C"/>
    <w:rsid w:val="00E713ED"/>
    <w:rsid w:val="00E71D4D"/>
    <w:rsid w:val="00E720AC"/>
    <w:rsid w:val="00E72B0D"/>
    <w:rsid w:val="00E73551"/>
    <w:rsid w:val="00E73B04"/>
    <w:rsid w:val="00E73BD2"/>
    <w:rsid w:val="00E74092"/>
    <w:rsid w:val="00E74889"/>
    <w:rsid w:val="00E74906"/>
    <w:rsid w:val="00E74A24"/>
    <w:rsid w:val="00E75C28"/>
    <w:rsid w:val="00E75E6C"/>
    <w:rsid w:val="00E7692D"/>
    <w:rsid w:val="00E769B8"/>
    <w:rsid w:val="00E76E39"/>
    <w:rsid w:val="00E76F92"/>
    <w:rsid w:val="00E7732E"/>
    <w:rsid w:val="00E778AD"/>
    <w:rsid w:val="00E77BF9"/>
    <w:rsid w:val="00E8010A"/>
    <w:rsid w:val="00E80FBB"/>
    <w:rsid w:val="00E80FBF"/>
    <w:rsid w:val="00E8148E"/>
    <w:rsid w:val="00E82650"/>
    <w:rsid w:val="00E83760"/>
    <w:rsid w:val="00E83B2A"/>
    <w:rsid w:val="00E84F0E"/>
    <w:rsid w:val="00E85030"/>
    <w:rsid w:val="00E85304"/>
    <w:rsid w:val="00E859B8"/>
    <w:rsid w:val="00E85D5C"/>
    <w:rsid w:val="00E864BD"/>
    <w:rsid w:val="00E8684A"/>
    <w:rsid w:val="00E869AD"/>
    <w:rsid w:val="00E86F5B"/>
    <w:rsid w:val="00E873EC"/>
    <w:rsid w:val="00E87535"/>
    <w:rsid w:val="00E875E1"/>
    <w:rsid w:val="00E90237"/>
    <w:rsid w:val="00E912C3"/>
    <w:rsid w:val="00E9149D"/>
    <w:rsid w:val="00E92078"/>
    <w:rsid w:val="00E92130"/>
    <w:rsid w:val="00E92255"/>
    <w:rsid w:val="00E9272A"/>
    <w:rsid w:val="00E92884"/>
    <w:rsid w:val="00E93879"/>
    <w:rsid w:val="00E93B96"/>
    <w:rsid w:val="00E93EED"/>
    <w:rsid w:val="00E93FBC"/>
    <w:rsid w:val="00E94490"/>
    <w:rsid w:val="00E94969"/>
    <w:rsid w:val="00E94EDD"/>
    <w:rsid w:val="00E953E5"/>
    <w:rsid w:val="00E95835"/>
    <w:rsid w:val="00E95B10"/>
    <w:rsid w:val="00E95D3A"/>
    <w:rsid w:val="00E966AF"/>
    <w:rsid w:val="00E9699F"/>
    <w:rsid w:val="00E96A32"/>
    <w:rsid w:val="00E96F2E"/>
    <w:rsid w:val="00E974F4"/>
    <w:rsid w:val="00E97CCA"/>
    <w:rsid w:val="00EA02B0"/>
    <w:rsid w:val="00EA1576"/>
    <w:rsid w:val="00EA183B"/>
    <w:rsid w:val="00EA25D7"/>
    <w:rsid w:val="00EA26E4"/>
    <w:rsid w:val="00EA2727"/>
    <w:rsid w:val="00EA2C07"/>
    <w:rsid w:val="00EA2C89"/>
    <w:rsid w:val="00EA3173"/>
    <w:rsid w:val="00EA31C8"/>
    <w:rsid w:val="00EA3E83"/>
    <w:rsid w:val="00EA3F09"/>
    <w:rsid w:val="00EA4025"/>
    <w:rsid w:val="00EA4398"/>
    <w:rsid w:val="00EA456D"/>
    <w:rsid w:val="00EA4580"/>
    <w:rsid w:val="00EA46A2"/>
    <w:rsid w:val="00EA5280"/>
    <w:rsid w:val="00EA566F"/>
    <w:rsid w:val="00EA5A77"/>
    <w:rsid w:val="00EA6A84"/>
    <w:rsid w:val="00EA6C5D"/>
    <w:rsid w:val="00EA7A1C"/>
    <w:rsid w:val="00EB110E"/>
    <w:rsid w:val="00EB1B32"/>
    <w:rsid w:val="00EB2072"/>
    <w:rsid w:val="00EB2471"/>
    <w:rsid w:val="00EB2EDC"/>
    <w:rsid w:val="00EB2FE5"/>
    <w:rsid w:val="00EB31B4"/>
    <w:rsid w:val="00EB3554"/>
    <w:rsid w:val="00EB3AC5"/>
    <w:rsid w:val="00EB3B9A"/>
    <w:rsid w:val="00EB3BA0"/>
    <w:rsid w:val="00EB3ED3"/>
    <w:rsid w:val="00EB4510"/>
    <w:rsid w:val="00EB65B2"/>
    <w:rsid w:val="00EB65EB"/>
    <w:rsid w:val="00EB74E4"/>
    <w:rsid w:val="00EB79B6"/>
    <w:rsid w:val="00EB7AAF"/>
    <w:rsid w:val="00EB7D08"/>
    <w:rsid w:val="00EC01D1"/>
    <w:rsid w:val="00EC05B3"/>
    <w:rsid w:val="00EC0938"/>
    <w:rsid w:val="00EC0DFB"/>
    <w:rsid w:val="00EC14E3"/>
    <w:rsid w:val="00EC1E2D"/>
    <w:rsid w:val="00EC1EFE"/>
    <w:rsid w:val="00EC1F27"/>
    <w:rsid w:val="00EC2A59"/>
    <w:rsid w:val="00EC307C"/>
    <w:rsid w:val="00EC3518"/>
    <w:rsid w:val="00EC3A39"/>
    <w:rsid w:val="00EC430F"/>
    <w:rsid w:val="00EC4A71"/>
    <w:rsid w:val="00EC4FE5"/>
    <w:rsid w:val="00EC541E"/>
    <w:rsid w:val="00EC5C7D"/>
    <w:rsid w:val="00EC60F5"/>
    <w:rsid w:val="00EC64AC"/>
    <w:rsid w:val="00EC6C7F"/>
    <w:rsid w:val="00EC722D"/>
    <w:rsid w:val="00EC767F"/>
    <w:rsid w:val="00EC7DCF"/>
    <w:rsid w:val="00EC7E5D"/>
    <w:rsid w:val="00ED00D7"/>
    <w:rsid w:val="00ED05B3"/>
    <w:rsid w:val="00ED0751"/>
    <w:rsid w:val="00ED098A"/>
    <w:rsid w:val="00ED1081"/>
    <w:rsid w:val="00ED11DE"/>
    <w:rsid w:val="00ED17DF"/>
    <w:rsid w:val="00ED2505"/>
    <w:rsid w:val="00ED329B"/>
    <w:rsid w:val="00ED3455"/>
    <w:rsid w:val="00ED3AA3"/>
    <w:rsid w:val="00ED4403"/>
    <w:rsid w:val="00ED5981"/>
    <w:rsid w:val="00ED5BD0"/>
    <w:rsid w:val="00ED5C12"/>
    <w:rsid w:val="00ED5CF7"/>
    <w:rsid w:val="00ED5E04"/>
    <w:rsid w:val="00ED6268"/>
    <w:rsid w:val="00ED6579"/>
    <w:rsid w:val="00ED666D"/>
    <w:rsid w:val="00ED6EDE"/>
    <w:rsid w:val="00ED71A3"/>
    <w:rsid w:val="00ED76CF"/>
    <w:rsid w:val="00ED77BE"/>
    <w:rsid w:val="00ED7AA9"/>
    <w:rsid w:val="00EE0824"/>
    <w:rsid w:val="00EE0896"/>
    <w:rsid w:val="00EE0916"/>
    <w:rsid w:val="00EE0E28"/>
    <w:rsid w:val="00EE15CB"/>
    <w:rsid w:val="00EE198E"/>
    <w:rsid w:val="00EE20A1"/>
    <w:rsid w:val="00EE2171"/>
    <w:rsid w:val="00EE24E6"/>
    <w:rsid w:val="00EE287F"/>
    <w:rsid w:val="00EE2A20"/>
    <w:rsid w:val="00EE3554"/>
    <w:rsid w:val="00EE3B58"/>
    <w:rsid w:val="00EE3FEF"/>
    <w:rsid w:val="00EE40CD"/>
    <w:rsid w:val="00EE4275"/>
    <w:rsid w:val="00EE4409"/>
    <w:rsid w:val="00EE4938"/>
    <w:rsid w:val="00EE53F0"/>
    <w:rsid w:val="00EE53F8"/>
    <w:rsid w:val="00EE5477"/>
    <w:rsid w:val="00EE5F18"/>
    <w:rsid w:val="00EE6596"/>
    <w:rsid w:val="00EE7AE4"/>
    <w:rsid w:val="00EE7CCD"/>
    <w:rsid w:val="00EE7F6D"/>
    <w:rsid w:val="00EF017D"/>
    <w:rsid w:val="00EF08B4"/>
    <w:rsid w:val="00EF169C"/>
    <w:rsid w:val="00EF18D6"/>
    <w:rsid w:val="00EF1D2E"/>
    <w:rsid w:val="00EF1D40"/>
    <w:rsid w:val="00EF1DFC"/>
    <w:rsid w:val="00EF22D9"/>
    <w:rsid w:val="00EF2488"/>
    <w:rsid w:val="00EF36B9"/>
    <w:rsid w:val="00EF3CCA"/>
    <w:rsid w:val="00EF4854"/>
    <w:rsid w:val="00EF4D8F"/>
    <w:rsid w:val="00EF4EB4"/>
    <w:rsid w:val="00EF4FDE"/>
    <w:rsid w:val="00EF52B4"/>
    <w:rsid w:val="00EF53B9"/>
    <w:rsid w:val="00EF575F"/>
    <w:rsid w:val="00EF5A6C"/>
    <w:rsid w:val="00EF5EDB"/>
    <w:rsid w:val="00EF65F7"/>
    <w:rsid w:val="00EF712C"/>
    <w:rsid w:val="00EF7C97"/>
    <w:rsid w:val="00F0019E"/>
    <w:rsid w:val="00F0030B"/>
    <w:rsid w:val="00F006F2"/>
    <w:rsid w:val="00F0138E"/>
    <w:rsid w:val="00F0160A"/>
    <w:rsid w:val="00F01864"/>
    <w:rsid w:val="00F01ABD"/>
    <w:rsid w:val="00F01E7C"/>
    <w:rsid w:val="00F02165"/>
    <w:rsid w:val="00F02657"/>
    <w:rsid w:val="00F02B8C"/>
    <w:rsid w:val="00F03518"/>
    <w:rsid w:val="00F03FE4"/>
    <w:rsid w:val="00F0467B"/>
    <w:rsid w:val="00F04B07"/>
    <w:rsid w:val="00F051D9"/>
    <w:rsid w:val="00F0762C"/>
    <w:rsid w:val="00F0780F"/>
    <w:rsid w:val="00F07D1B"/>
    <w:rsid w:val="00F109C2"/>
    <w:rsid w:val="00F13003"/>
    <w:rsid w:val="00F1343D"/>
    <w:rsid w:val="00F1358C"/>
    <w:rsid w:val="00F1391E"/>
    <w:rsid w:val="00F1398B"/>
    <w:rsid w:val="00F13D68"/>
    <w:rsid w:val="00F1414E"/>
    <w:rsid w:val="00F14D01"/>
    <w:rsid w:val="00F14E6E"/>
    <w:rsid w:val="00F158B8"/>
    <w:rsid w:val="00F1594C"/>
    <w:rsid w:val="00F160F4"/>
    <w:rsid w:val="00F162DA"/>
    <w:rsid w:val="00F167C1"/>
    <w:rsid w:val="00F171CD"/>
    <w:rsid w:val="00F17EF4"/>
    <w:rsid w:val="00F204D2"/>
    <w:rsid w:val="00F2101D"/>
    <w:rsid w:val="00F216A3"/>
    <w:rsid w:val="00F21A36"/>
    <w:rsid w:val="00F220A5"/>
    <w:rsid w:val="00F2248B"/>
    <w:rsid w:val="00F22699"/>
    <w:rsid w:val="00F22722"/>
    <w:rsid w:val="00F22B93"/>
    <w:rsid w:val="00F23250"/>
    <w:rsid w:val="00F23B21"/>
    <w:rsid w:val="00F24107"/>
    <w:rsid w:val="00F2484F"/>
    <w:rsid w:val="00F24862"/>
    <w:rsid w:val="00F24B38"/>
    <w:rsid w:val="00F24C8F"/>
    <w:rsid w:val="00F24F9F"/>
    <w:rsid w:val="00F250BC"/>
    <w:rsid w:val="00F25455"/>
    <w:rsid w:val="00F256E8"/>
    <w:rsid w:val="00F2587F"/>
    <w:rsid w:val="00F2590A"/>
    <w:rsid w:val="00F26057"/>
    <w:rsid w:val="00F26456"/>
    <w:rsid w:val="00F27090"/>
    <w:rsid w:val="00F275BF"/>
    <w:rsid w:val="00F27E2C"/>
    <w:rsid w:val="00F3053D"/>
    <w:rsid w:val="00F308AD"/>
    <w:rsid w:val="00F30BF4"/>
    <w:rsid w:val="00F3113D"/>
    <w:rsid w:val="00F321CD"/>
    <w:rsid w:val="00F3296C"/>
    <w:rsid w:val="00F32BF5"/>
    <w:rsid w:val="00F33220"/>
    <w:rsid w:val="00F33882"/>
    <w:rsid w:val="00F338FF"/>
    <w:rsid w:val="00F33E1F"/>
    <w:rsid w:val="00F341F8"/>
    <w:rsid w:val="00F34528"/>
    <w:rsid w:val="00F346BA"/>
    <w:rsid w:val="00F348BF"/>
    <w:rsid w:val="00F34990"/>
    <w:rsid w:val="00F34FBD"/>
    <w:rsid w:val="00F35847"/>
    <w:rsid w:val="00F35AFC"/>
    <w:rsid w:val="00F35ECC"/>
    <w:rsid w:val="00F363A5"/>
    <w:rsid w:val="00F366B3"/>
    <w:rsid w:val="00F36721"/>
    <w:rsid w:val="00F370DB"/>
    <w:rsid w:val="00F3779B"/>
    <w:rsid w:val="00F37C9F"/>
    <w:rsid w:val="00F37D2F"/>
    <w:rsid w:val="00F37EED"/>
    <w:rsid w:val="00F4003D"/>
    <w:rsid w:val="00F4086A"/>
    <w:rsid w:val="00F40905"/>
    <w:rsid w:val="00F413BF"/>
    <w:rsid w:val="00F41D2E"/>
    <w:rsid w:val="00F41E29"/>
    <w:rsid w:val="00F42325"/>
    <w:rsid w:val="00F4237E"/>
    <w:rsid w:val="00F425C6"/>
    <w:rsid w:val="00F4325C"/>
    <w:rsid w:val="00F432A3"/>
    <w:rsid w:val="00F434D1"/>
    <w:rsid w:val="00F43EAD"/>
    <w:rsid w:val="00F44AFE"/>
    <w:rsid w:val="00F44EB3"/>
    <w:rsid w:val="00F455F2"/>
    <w:rsid w:val="00F457E6"/>
    <w:rsid w:val="00F45F97"/>
    <w:rsid w:val="00F46476"/>
    <w:rsid w:val="00F50C68"/>
    <w:rsid w:val="00F51703"/>
    <w:rsid w:val="00F517F6"/>
    <w:rsid w:val="00F51E3E"/>
    <w:rsid w:val="00F51EC0"/>
    <w:rsid w:val="00F52491"/>
    <w:rsid w:val="00F5258F"/>
    <w:rsid w:val="00F528B4"/>
    <w:rsid w:val="00F54063"/>
    <w:rsid w:val="00F54143"/>
    <w:rsid w:val="00F54610"/>
    <w:rsid w:val="00F54E6F"/>
    <w:rsid w:val="00F54EB0"/>
    <w:rsid w:val="00F55010"/>
    <w:rsid w:val="00F5636A"/>
    <w:rsid w:val="00F56649"/>
    <w:rsid w:val="00F56CB5"/>
    <w:rsid w:val="00F56F71"/>
    <w:rsid w:val="00F5738D"/>
    <w:rsid w:val="00F57B8F"/>
    <w:rsid w:val="00F60B17"/>
    <w:rsid w:val="00F60DD9"/>
    <w:rsid w:val="00F61A3E"/>
    <w:rsid w:val="00F61BA9"/>
    <w:rsid w:val="00F61D2D"/>
    <w:rsid w:val="00F61DDE"/>
    <w:rsid w:val="00F624EE"/>
    <w:rsid w:val="00F62B6F"/>
    <w:rsid w:val="00F635EE"/>
    <w:rsid w:val="00F63D69"/>
    <w:rsid w:val="00F645EA"/>
    <w:rsid w:val="00F6466C"/>
    <w:rsid w:val="00F64BA7"/>
    <w:rsid w:val="00F64C57"/>
    <w:rsid w:val="00F64E88"/>
    <w:rsid w:val="00F65E82"/>
    <w:rsid w:val="00F66935"/>
    <w:rsid w:val="00F6732B"/>
    <w:rsid w:val="00F675B9"/>
    <w:rsid w:val="00F676DC"/>
    <w:rsid w:val="00F679E1"/>
    <w:rsid w:val="00F67C7A"/>
    <w:rsid w:val="00F703ED"/>
    <w:rsid w:val="00F704AE"/>
    <w:rsid w:val="00F709A3"/>
    <w:rsid w:val="00F70D42"/>
    <w:rsid w:val="00F70F98"/>
    <w:rsid w:val="00F73027"/>
    <w:rsid w:val="00F732BB"/>
    <w:rsid w:val="00F73388"/>
    <w:rsid w:val="00F73832"/>
    <w:rsid w:val="00F74347"/>
    <w:rsid w:val="00F74944"/>
    <w:rsid w:val="00F74BAE"/>
    <w:rsid w:val="00F74D4A"/>
    <w:rsid w:val="00F74E08"/>
    <w:rsid w:val="00F74E55"/>
    <w:rsid w:val="00F75977"/>
    <w:rsid w:val="00F75D35"/>
    <w:rsid w:val="00F76102"/>
    <w:rsid w:val="00F76880"/>
    <w:rsid w:val="00F768E2"/>
    <w:rsid w:val="00F770F7"/>
    <w:rsid w:val="00F772CB"/>
    <w:rsid w:val="00F773F2"/>
    <w:rsid w:val="00F77EB4"/>
    <w:rsid w:val="00F803C1"/>
    <w:rsid w:val="00F81C91"/>
    <w:rsid w:val="00F83925"/>
    <w:rsid w:val="00F83C50"/>
    <w:rsid w:val="00F846CA"/>
    <w:rsid w:val="00F8532D"/>
    <w:rsid w:val="00F85EAB"/>
    <w:rsid w:val="00F86209"/>
    <w:rsid w:val="00F86440"/>
    <w:rsid w:val="00F86558"/>
    <w:rsid w:val="00F867C1"/>
    <w:rsid w:val="00F86B80"/>
    <w:rsid w:val="00F86C1F"/>
    <w:rsid w:val="00F86CB4"/>
    <w:rsid w:val="00F86F38"/>
    <w:rsid w:val="00F871F2"/>
    <w:rsid w:val="00F87409"/>
    <w:rsid w:val="00F876E1"/>
    <w:rsid w:val="00F87F9A"/>
    <w:rsid w:val="00F903A2"/>
    <w:rsid w:val="00F903AC"/>
    <w:rsid w:val="00F911DB"/>
    <w:rsid w:val="00F912D8"/>
    <w:rsid w:val="00F9195D"/>
    <w:rsid w:val="00F91D6B"/>
    <w:rsid w:val="00F92257"/>
    <w:rsid w:val="00F935A7"/>
    <w:rsid w:val="00F93943"/>
    <w:rsid w:val="00F943A4"/>
    <w:rsid w:val="00F944B4"/>
    <w:rsid w:val="00F95166"/>
    <w:rsid w:val="00F95A24"/>
    <w:rsid w:val="00F96B4B"/>
    <w:rsid w:val="00F96F8A"/>
    <w:rsid w:val="00F97C5E"/>
    <w:rsid w:val="00FA0226"/>
    <w:rsid w:val="00FA0610"/>
    <w:rsid w:val="00FA0B9B"/>
    <w:rsid w:val="00FA181C"/>
    <w:rsid w:val="00FA19C2"/>
    <w:rsid w:val="00FA1EED"/>
    <w:rsid w:val="00FA253B"/>
    <w:rsid w:val="00FA2653"/>
    <w:rsid w:val="00FA2F29"/>
    <w:rsid w:val="00FA2FF6"/>
    <w:rsid w:val="00FA36EB"/>
    <w:rsid w:val="00FA38C9"/>
    <w:rsid w:val="00FA5A06"/>
    <w:rsid w:val="00FA6CC5"/>
    <w:rsid w:val="00FA6E77"/>
    <w:rsid w:val="00FA6ECC"/>
    <w:rsid w:val="00FA7031"/>
    <w:rsid w:val="00FA7553"/>
    <w:rsid w:val="00FB05BE"/>
    <w:rsid w:val="00FB0949"/>
    <w:rsid w:val="00FB1117"/>
    <w:rsid w:val="00FB19A7"/>
    <w:rsid w:val="00FB1A0B"/>
    <w:rsid w:val="00FB1D6C"/>
    <w:rsid w:val="00FB1EDB"/>
    <w:rsid w:val="00FB2E9F"/>
    <w:rsid w:val="00FB2FC9"/>
    <w:rsid w:val="00FB349A"/>
    <w:rsid w:val="00FB3AEA"/>
    <w:rsid w:val="00FB3F70"/>
    <w:rsid w:val="00FB4210"/>
    <w:rsid w:val="00FB5852"/>
    <w:rsid w:val="00FB59EA"/>
    <w:rsid w:val="00FB67E6"/>
    <w:rsid w:val="00FB7504"/>
    <w:rsid w:val="00FB77B4"/>
    <w:rsid w:val="00FB7CC6"/>
    <w:rsid w:val="00FB7D44"/>
    <w:rsid w:val="00FB7E15"/>
    <w:rsid w:val="00FC05ED"/>
    <w:rsid w:val="00FC14AB"/>
    <w:rsid w:val="00FC1659"/>
    <w:rsid w:val="00FC17A5"/>
    <w:rsid w:val="00FC19C1"/>
    <w:rsid w:val="00FC2281"/>
    <w:rsid w:val="00FC2960"/>
    <w:rsid w:val="00FC2DA8"/>
    <w:rsid w:val="00FC31BD"/>
    <w:rsid w:val="00FC436D"/>
    <w:rsid w:val="00FC4BC8"/>
    <w:rsid w:val="00FC4CA6"/>
    <w:rsid w:val="00FC4CC1"/>
    <w:rsid w:val="00FC4CEA"/>
    <w:rsid w:val="00FC4D46"/>
    <w:rsid w:val="00FD08DA"/>
    <w:rsid w:val="00FD13CA"/>
    <w:rsid w:val="00FD13DC"/>
    <w:rsid w:val="00FD175B"/>
    <w:rsid w:val="00FD1AD4"/>
    <w:rsid w:val="00FD37A6"/>
    <w:rsid w:val="00FD3FD3"/>
    <w:rsid w:val="00FD3FFC"/>
    <w:rsid w:val="00FD4013"/>
    <w:rsid w:val="00FD5496"/>
    <w:rsid w:val="00FD5822"/>
    <w:rsid w:val="00FD686A"/>
    <w:rsid w:val="00FD69C6"/>
    <w:rsid w:val="00FD72EB"/>
    <w:rsid w:val="00FD79AF"/>
    <w:rsid w:val="00FE00D4"/>
    <w:rsid w:val="00FE039A"/>
    <w:rsid w:val="00FE075D"/>
    <w:rsid w:val="00FE15D3"/>
    <w:rsid w:val="00FE1DCB"/>
    <w:rsid w:val="00FE3A86"/>
    <w:rsid w:val="00FE43B7"/>
    <w:rsid w:val="00FE444A"/>
    <w:rsid w:val="00FE47AC"/>
    <w:rsid w:val="00FE4961"/>
    <w:rsid w:val="00FE5CD0"/>
    <w:rsid w:val="00FE613B"/>
    <w:rsid w:val="00FE668F"/>
    <w:rsid w:val="00FE68B9"/>
    <w:rsid w:val="00FE7696"/>
    <w:rsid w:val="00FF0425"/>
    <w:rsid w:val="00FF08D9"/>
    <w:rsid w:val="00FF0B58"/>
    <w:rsid w:val="00FF18EB"/>
    <w:rsid w:val="00FF1E62"/>
    <w:rsid w:val="00FF267E"/>
    <w:rsid w:val="00FF2CF7"/>
    <w:rsid w:val="00FF2EDE"/>
    <w:rsid w:val="00FF34BC"/>
    <w:rsid w:val="00FF3817"/>
    <w:rsid w:val="00FF4741"/>
    <w:rsid w:val="00FF55BA"/>
    <w:rsid w:val="00FF5D22"/>
    <w:rsid w:val="00FF6750"/>
    <w:rsid w:val="00FF6AE3"/>
    <w:rsid w:val="0434D174"/>
    <w:rsid w:val="0836AEB3"/>
    <w:rsid w:val="16F0968F"/>
    <w:rsid w:val="1C0B18D3"/>
    <w:rsid w:val="27E0F514"/>
    <w:rsid w:val="2A1408B6"/>
    <w:rsid w:val="41B71ED7"/>
    <w:rsid w:val="4FCCBFC6"/>
    <w:rsid w:val="732B5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5D8F2DAF-A8CA-4DAE-A096-C35200462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0175"/>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b/>
      <w:lang w:val="en-GB" w:eastAsia="x-none"/>
    </w:rPr>
  </w:style>
  <w:style w:type="character" w:customStyle="1" w:styleId="Heading5Char">
    <w:name w:val="Heading 5 Char"/>
    <w:aliases w:val="h5 Char,Heading5 Char"/>
    <w:link w:val="Heading5"/>
    <w:rsid w:val="00703220"/>
    <w:rPr>
      <w:rFonts w:ascii="Arial" w:hAnsi="Arial"/>
      <w:b/>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unhideWhenUsed/>
    <w:qFormat/>
    <w:rsid w:val="00EE198E"/>
    <w:pPr>
      <w:jc w:val="left"/>
    </w:pPr>
    <w:rPr>
      <w:lang w:eastAsia="x-none"/>
    </w:rPr>
  </w:style>
  <w:style w:type="character" w:customStyle="1" w:styleId="CommentTextChar">
    <w:name w:val="Comment Text Char"/>
    <w:link w:val="CommentText"/>
    <w:uiPriority w:val="99"/>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列"/>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table" w:customStyle="1" w:styleId="10">
    <w:name w:val="网格型1"/>
    <w:basedOn w:val="TableNormal"/>
    <w:next w:val="TableGrid"/>
    <w:qFormat/>
    <w:rsid w:val="008E28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472FC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472FCB"/>
    <w:rPr>
      <w:rFonts w:ascii="Arial" w:eastAsia="MS Mincho" w:hAnsi="Arial"/>
      <w:i/>
      <w:noProof/>
      <w:sz w:val="18"/>
      <w:szCs w:val="24"/>
      <w:lang w:val="en-GB" w:eastAsia="en-GB"/>
    </w:rPr>
  </w:style>
  <w:style w:type="character" w:styleId="UnresolvedMention">
    <w:name w:val="Unresolved Mention"/>
    <w:basedOn w:val="DefaultParagraphFont"/>
    <w:uiPriority w:val="99"/>
    <w:semiHidden/>
    <w:unhideWhenUsed/>
    <w:rsid w:val="00580A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80440">
      <w:bodyDiv w:val="1"/>
      <w:marLeft w:val="0"/>
      <w:marRight w:val="0"/>
      <w:marTop w:val="0"/>
      <w:marBottom w:val="0"/>
      <w:divBdr>
        <w:top w:val="none" w:sz="0" w:space="0" w:color="auto"/>
        <w:left w:val="none" w:sz="0" w:space="0" w:color="auto"/>
        <w:bottom w:val="none" w:sz="0" w:space="0" w:color="auto"/>
        <w:right w:val="none" w:sz="0" w:space="0" w:color="auto"/>
      </w:divBdr>
    </w:div>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38282170">
      <w:bodyDiv w:val="1"/>
      <w:marLeft w:val="0"/>
      <w:marRight w:val="0"/>
      <w:marTop w:val="0"/>
      <w:marBottom w:val="0"/>
      <w:divBdr>
        <w:top w:val="none" w:sz="0" w:space="0" w:color="auto"/>
        <w:left w:val="none" w:sz="0" w:space="0" w:color="auto"/>
        <w:bottom w:val="none" w:sz="0" w:space="0" w:color="auto"/>
        <w:right w:val="none" w:sz="0" w:space="0" w:color="auto"/>
      </w:divBdr>
    </w:div>
    <w:div w:id="51084330">
      <w:bodyDiv w:val="1"/>
      <w:marLeft w:val="0"/>
      <w:marRight w:val="0"/>
      <w:marTop w:val="0"/>
      <w:marBottom w:val="0"/>
      <w:divBdr>
        <w:top w:val="none" w:sz="0" w:space="0" w:color="auto"/>
        <w:left w:val="none" w:sz="0" w:space="0" w:color="auto"/>
        <w:bottom w:val="none" w:sz="0" w:space="0" w:color="auto"/>
        <w:right w:val="none" w:sz="0" w:space="0" w:color="auto"/>
      </w:divBdr>
      <w:divsChild>
        <w:div w:id="897668772">
          <w:marLeft w:val="0"/>
          <w:marRight w:val="0"/>
          <w:marTop w:val="0"/>
          <w:marBottom w:val="0"/>
          <w:divBdr>
            <w:top w:val="none" w:sz="0" w:space="0" w:color="auto"/>
            <w:left w:val="none" w:sz="0" w:space="0" w:color="auto"/>
            <w:bottom w:val="none" w:sz="0" w:space="0" w:color="auto"/>
            <w:right w:val="none" w:sz="0" w:space="0" w:color="auto"/>
          </w:divBdr>
        </w:div>
      </w:divsChild>
    </w:div>
    <w:div w:id="84691561">
      <w:bodyDiv w:val="1"/>
      <w:marLeft w:val="0"/>
      <w:marRight w:val="0"/>
      <w:marTop w:val="0"/>
      <w:marBottom w:val="0"/>
      <w:divBdr>
        <w:top w:val="none" w:sz="0" w:space="0" w:color="auto"/>
        <w:left w:val="none" w:sz="0" w:space="0" w:color="auto"/>
        <w:bottom w:val="none" w:sz="0" w:space="0" w:color="auto"/>
        <w:right w:val="none" w:sz="0" w:space="0" w:color="auto"/>
      </w:divBdr>
      <w:divsChild>
        <w:div w:id="1214120200">
          <w:marLeft w:val="360"/>
          <w:marRight w:val="0"/>
          <w:marTop w:val="200"/>
          <w:marBottom w:val="0"/>
          <w:divBdr>
            <w:top w:val="none" w:sz="0" w:space="0" w:color="auto"/>
            <w:left w:val="none" w:sz="0" w:space="0" w:color="auto"/>
            <w:bottom w:val="none" w:sz="0" w:space="0" w:color="auto"/>
            <w:right w:val="none" w:sz="0" w:space="0" w:color="auto"/>
          </w:divBdr>
        </w:div>
      </w:divsChild>
    </w:div>
    <w:div w:id="169411251">
      <w:bodyDiv w:val="1"/>
      <w:marLeft w:val="0"/>
      <w:marRight w:val="0"/>
      <w:marTop w:val="0"/>
      <w:marBottom w:val="0"/>
      <w:divBdr>
        <w:top w:val="none" w:sz="0" w:space="0" w:color="auto"/>
        <w:left w:val="none" w:sz="0" w:space="0" w:color="auto"/>
        <w:bottom w:val="none" w:sz="0" w:space="0" w:color="auto"/>
        <w:right w:val="none" w:sz="0" w:space="0" w:color="auto"/>
      </w:divBdr>
    </w:div>
    <w:div w:id="230427703">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51595778">
      <w:bodyDiv w:val="1"/>
      <w:marLeft w:val="0"/>
      <w:marRight w:val="0"/>
      <w:marTop w:val="0"/>
      <w:marBottom w:val="0"/>
      <w:divBdr>
        <w:top w:val="none" w:sz="0" w:space="0" w:color="auto"/>
        <w:left w:val="none" w:sz="0" w:space="0" w:color="auto"/>
        <w:bottom w:val="none" w:sz="0" w:space="0" w:color="auto"/>
        <w:right w:val="none" w:sz="0" w:space="0" w:color="auto"/>
      </w:divBdr>
    </w:div>
    <w:div w:id="294721345">
      <w:bodyDiv w:val="1"/>
      <w:marLeft w:val="0"/>
      <w:marRight w:val="0"/>
      <w:marTop w:val="0"/>
      <w:marBottom w:val="0"/>
      <w:divBdr>
        <w:top w:val="none" w:sz="0" w:space="0" w:color="auto"/>
        <w:left w:val="none" w:sz="0" w:space="0" w:color="auto"/>
        <w:bottom w:val="none" w:sz="0" w:space="0" w:color="auto"/>
        <w:right w:val="none" w:sz="0" w:space="0" w:color="auto"/>
      </w:divBdr>
      <w:divsChild>
        <w:div w:id="141314685">
          <w:marLeft w:val="0"/>
          <w:marRight w:val="75"/>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385643394">
      <w:bodyDiv w:val="1"/>
      <w:marLeft w:val="0"/>
      <w:marRight w:val="0"/>
      <w:marTop w:val="0"/>
      <w:marBottom w:val="0"/>
      <w:divBdr>
        <w:top w:val="none" w:sz="0" w:space="0" w:color="auto"/>
        <w:left w:val="none" w:sz="0" w:space="0" w:color="auto"/>
        <w:bottom w:val="none" w:sz="0" w:space="0" w:color="auto"/>
        <w:right w:val="none" w:sz="0" w:space="0" w:color="auto"/>
      </w:divBdr>
      <w:divsChild>
        <w:div w:id="1330213236">
          <w:marLeft w:val="0"/>
          <w:marRight w:val="0"/>
          <w:marTop w:val="0"/>
          <w:marBottom w:val="0"/>
          <w:divBdr>
            <w:top w:val="none" w:sz="0" w:space="0" w:color="auto"/>
            <w:left w:val="none" w:sz="0" w:space="0" w:color="auto"/>
            <w:bottom w:val="none" w:sz="0" w:space="0" w:color="auto"/>
            <w:right w:val="none" w:sz="0" w:space="0" w:color="auto"/>
          </w:divBdr>
        </w:div>
      </w:divsChild>
    </w:div>
    <w:div w:id="416944867">
      <w:bodyDiv w:val="1"/>
      <w:marLeft w:val="0"/>
      <w:marRight w:val="0"/>
      <w:marTop w:val="0"/>
      <w:marBottom w:val="0"/>
      <w:divBdr>
        <w:top w:val="none" w:sz="0" w:space="0" w:color="auto"/>
        <w:left w:val="none" w:sz="0" w:space="0" w:color="auto"/>
        <w:bottom w:val="none" w:sz="0" w:space="0" w:color="auto"/>
        <w:right w:val="none" w:sz="0" w:space="0" w:color="auto"/>
      </w:divBdr>
    </w:div>
    <w:div w:id="439110784">
      <w:bodyDiv w:val="1"/>
      <w:marLeft w:val="0"/>
      <w:marRight w:val="0"/>
      <w:marTop w:val="0"/>
      <w:marBottom w:val="0"/>
      <w:divBdr>
        <w:top w:val="none" w:sz="0" w:space="0" w:color="auto"/>
        <w:left w:val="none" w:sz="0" w:space="0" w:color="auto"/>
        <w:bottom w:val="none" w:sz="0" w:space="0" w:color="auto"/>
        <w:right w:val="none" w:sz="0" w:space="0" w:color="auto"/>
      </w:divBdr>
      <w:divsChild>
        <w:div w:id="1721322338">
          <w:marLeft w:val="360"/>
          <w:marRight w:val="0"/>
          <w:marTop w:val="200"/>
          <w:marBottom w:val="0"/>
          <w:divBdr>
            <w:top w:val="none" w:sz="0" w:space="0" w:color="auto"/>
            <w:left w:val="none" w:sz="0" w:space="0" w:color="auto"/>
            <w:bottom w:val="none" w:sz="0" w:space="0" w:color="auto"/>
            <w:right w:val="none" w:sz="0" w:space="0" w:color="auto"/>
          </w:divBdr>
        </w:div>
      </w:divsChild>
    </w:div>
    <w:div w:id="446892971">
      <w:bodyDiv w:val="1"/>
      <w:marLeft w:val="0"/>
      <w:marRight w:val="0"/>
      <w:marTop w:val="0"/>
      <w:marBottom w:val="0"/>
      <w:divBdr>
        <w:top w:val="none" w:sz="0" w:space="0" w:color="auto"/>
        <w:left w:val="none" w:sz="0" w:space="0" w:color="auto"/>
        <w:bottom w:val="none" w:sz="0" w:space="0" w:color="auto"/>
        <w:right w:val="none" w:sz="0" w:space="0" w:color="auto"/>
      </w:divBdr>
    </w:div>
    <w:div w:id="458766241">
      <w:bodyDiv w:val="1"/>
      <w:marLeft w:val="0"/>
      <w:marRight w:val="0"/>
      <w:marTop w:val="0"/>
      <w:marBottom w:val="0"/>
      <w:divBdr>
        <w:top w:val="none" w:sz="0" w:space="0" w:color="auto"/>
        <w:left w:val="none" w:sz="0" w:space="0" w:color="auto"/>
        <w:bottom w:val="none" w:sz="0" w:space="0" w:color="auto"/>
        <w:right w:val="none" w:sz="0" w:space="0" w:color="auto"/>
      </w:divBdr>
    </w:div>
    <w:div w:id="48131781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24708432">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30283957">
      <w:bodyDiv w:val="1"/>
      <w:marLeft w:val="0"/>
      <w:marRight w:val="0"/>
      <w:marTop w:val="0"/>
      <w:marBottom w:val="0"/>
      <w:divBdr>
        <w:top w:val="none" w:sz="0" w:space="0" w:color="auto"/>
        <w:left w:val="none" w:sz="0" w:space="0" w:color="auto"/>
        <w:bottom w:val="none" w:sz="0" w:space="0" w:color="auto"/>
        <w:right w:val="none" w:sz="0" w:space="0" w:color="auto"/>
      </w:divBdr>
    </w:div>
    <w:div w:id="647980169">
      <w:bodyDiv w:val="1"/>
      <w:marLeft w:val="0"/>
      <w:marRight w:val="0"/>
      <w:marTop w:val="0"/>
      <w:marBottom w:val="0"/>
      <w:divBdr>
        <w:top w:val="none" w:sz="0" w:space="0" w:color="auto"/>
        <w:left w:val="none" w:sz="0" w:space="0" w:color="auto"/>
        <w:bottom w:val="none" w:sz="0" w:space="0" w:color="auto"/>
        <w:right w:val="none" w:sz="0" w:space="0" w:color="auto"/>
      </w:divBdr>
    </w:div>
    <w:div w:id="662044865">
      <w:bodyDiv w:val="1"/>
      <w:marLeft w:val="0"/>
      <w:marRight w:val="0"/>
      <w:marTop w:val="0"/>
      <w:marBottom w:val="0"/>
      <w:divBdr>
        <w:top w:val="none" w:sz="0" w:space="0" w:color="auto"/>
        <w:left w:val="none" w:sz="0" w:space="0" w:color="auto"/>
        <w:bottom w:val="none" w:sz="0" w:space="0" w:color="auto"/>
        <w:right w:val="none" w:sz="0" w:space="0" w:color="auto"/>
      </w:divBdr>
    </w:div>
    <w:div w:id="673341108">
      <w:bodyDiv w:val="1"/>
      <w:marLeft w:val="0"/>
      <w:marRight w:val="0"/>
      <w:marTop w:val="0"/>
      <w:marBottom w:val="0"/>
      <w:divBdr>
        <w:top w:val="none" w:sz="0" w:space="0" w:color="auto"/>
        <w:left w:val="none" w:sz="0" w:space="0" w:color="auto"/>
        <w:bottom w:val="none" w:sz="0" w:space="0" w:color="auto"/>
        <w:right w:val="none" w:sz="0" w:space="0" w:color="auto"/>
      </w:divBdr>
      <w:divsChild>
        <w:div w:id="1529754552">
          <w:marLeft w:val="0"/>
          <w:marRight w:val="0"/>
          <w:marTop w:val="0"/>
          <w:marBottom w:val="0"/>
          <w:divBdr>
            <w:top w:val="none" w:sz="0" w:space="0" w:color="auto"/>
            <w:left w:val="none" w:sz="0" w:space="0" w:color="auto"/>
            <w:bottom w:val="none" w:sz="0" w:space="0" w:color="auto"/>
            <w:right w:val="none" w:sz="0" w:space="0" w:color="auto"/>
          </w:divBdr>
          <w:divsChild>
            <w:div w:id="1574509472">
              <w:marLeft w:val="0"/>
              <w:marRight w:val="0"/>
              <w:marTop w:val="0"/>
              <w:marBottom w:val="0"/>
              <w:divBdr>
                <w:top w:val="none" w:sz="0" w:space="0" w:color="auto"/>
                <w:left w:val="none" w:sz="0" w:space="0" w:color="auto"/>
                <w:bottom w:val="none" w:sz="0" w:space="0" w:color="auto"/>
                <w:right w:val="none" w:sz="0" w:space="0" w:color="auto"/>
              </w:divBdr>
              <w:divsChild>
                <w:div w:id="1885604056">
                  <w:marLeft w:val="0"/>
                  <w:marRight w:val="0"/>
                  <w:marTop w:val="0"/>
                  <w:marBottom w:val="0"/>
                  <w:divBdr>
                    <w:top w:val="none" w:sz="0" w:space="0" w:color="auto"/>
                    <w:left w:val="none" w:sz="0" w:space="0" w:color="auto"/>
                    <w:bottom w:val="none" w:sz="0" w:space="0" w:color="auto"/>
                    <w:right w:val="none" w:sz="0" w:space="0" w:color="auto"/>
                  </w:divBdr>
                  <w:divsChild>
                    <w:div w:id="559485779">
                      <w:marLeft w:val="0"/>
                      <w:marRight w:val="0"/>
                      <w:marTop w:val="0"/>
                      <w:marBottom w:val="0"/>
                      <w:divBdr>
                        <w:top w:val="none" w:sz="0" w:space="0" w:color="auto"/>
                        <w:left w:val="none" w:sz="0" w:space="0" w:color="auto"/>
                        <w:bottom w:val="none" w:sz="0" w:space="0" w:color="auto"/>
                        <w:right w:val="none" w:sz="0" w:space="0" w:color="auto"/>
                      </w:divBdr>
                      <w:divsChild>
                        <w:div w:id="485435796">
                          <w:marLeft w:val="0"/>
                          <w:marRight w:val="0"/>
                          <w:marTop w:val="0"/>
                          <w:marBottom w:val="0"/>
                          <w:divBdr>
                            <w:top w:val="none" w:sz="0" w:space="0" w:color="auto"/>
                            <w:left w:val="none" w:sz="0" w:space="0" w:color="auto"/>
                            <w:bottom w:val="none" w:sz="0" w:space="0" w:color="auto"/>
                            <w:right w:val="none" w:sz="0" w:space="0" w:color="auto"/>
                          </w:divBdr>
                          <w:divsChild>
                            <w:div w:id="909001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4213768">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750660081">
      <w:bodyDiv w:val="1"/>
      <w:marLeft w:val="0"/>
      <w:marRight w:val="0"/>
      <w:marTop w:val="0"/>
      <w:marBottom w:val="0"/>
      <w:divBdr>
        <w:top w:val="none" w:sz="0" w:space="0" w:color="auto"/>
        <w:left w:val="none" w:sz="0" w:space="0" w:color="auto"/>
        <w:bottom w:val="none" w:sz="0" w:space="0" w:color="auto"/>
        <w:right w:val="none" w:sz="0" w:space="0" w:color="auto"/>
      </w:divBdr>
      <w:divsChild>
        <w:div w:id="672146452">
          <w:marLeft w:val="0"/>
          <w:marRight w:val="0"/>
          <w:marTop w:val="0"/>
          <w:marBottom w:val="0"/>
          <w:divBdr>
            <w:top w:val="none" w:sz="0" w:space="0" w:color="auto"/>
            <w:left w:val="none" w:sz="0" w:space="0" w:color="auto"/>
            <w:bottom w:val="none" w:sz="0" w:space="0" w:color="auto"/>
            <w:right w:val="none" w:sz="0" w:space="0" w:color="auto"/>
          </w:divBdr>
        </w:div>
      </w:divsChild>
    </w:div>
    <w:div w:id="776825689">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846790804">
      <w:bodyDiv w:val="1"/>
      <w:marLeft w:val="0"/>
      <w:marRight w:val="0"/>
      <w:marTop w:val="0"/>
      <w:marBottom w:val="0"/>
      <w:divBdr>
        <w:top w:val="none" w:sz="0" w:space="0" w:color="auto"/>
        <w:left w:val="none" w:sz="0" w:space="0" w:color="auto"/>
        <w:bottom w:val="none" w:sz="0" w:space="0" w:color="auto"/>
        <w:right w:val="none" w:sz="0" w:space="0" w:color="auto"/>
      </w:divBdr>
      <w:divsChild>
        <w:div w:id="858545753">
          <w:marLeft w:val="0"/>
          <w:marRight w:val="0"/>
          <w:marTop w:val="0"/>
          <w:marBottom w:val="0"/>
          <w:divBdr>
            <w:top w:val="none" w:sz="0" w:space="0" w:color="auto"/>
            <w:left w:val="none" w:sz="0" w:space="0" w:color="auto"/>
            <w:bottom w:val="none" w:sz="0" w:space="0" w:color="auto"/>
            <w:right w:val="none" w:sz="0" w:space="0" w:color="auto"/>
          </w:divBdr>
        </w:div>
      </w:divsChild>
    </w:div>
    <w:div w:id="890505350">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37445788">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58991890">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09934171">
      <w:bodyDiv w:val="1"/>
      <w:marLeft w:val="0"/>
      <w:marRight w:val="0"/>
      <w:marTop w:val="0"/>
      <w:marBottom w:val="0"/>
      <w:divBdr>
        <w:top w:val="none" w:sz="0" w:space="0" w:color="auto"/>
        <w:left w:val="none" w:sz="0" w:space="0" w:color="auto"/>
        <w:bottom w:val="none" w:sz="0" w:space="0" w:color="auto"/>
        <w:right w:val="none" w:sz="0" w:space="0" w:color="auto"/>
      </w:divBdr>
    </w:div>
    <w:div w:id="1129974929">
      <w:bodyDiv w:val="1"/>
      <w:marLeft w:val="0"/>
      <w:marRight w:val="0"/>
      <w:marTop w:val="0"/>
      <w:marBottom w:val="0"/>
      <w:divBdr>
        <w:top w:val="none" w:sz="0" w:space="0" w:color="auto"/>
        <w:left w:val="none" w:sz="0" w:space="0" w:color="auto"/>
        <w:bottom w:val="none" w:sz="0" w:space="0" w:color="auto"/>
        <w:right w:val="none" w:sz="0" w:space="0" w:color="auto"/>
      </w:divBdr>
      <w:divsChild>
        <w:div w:id="1611011098">
          <w:marLeft w:val="0"/>
          <w:marRight w:val="0"/>
          <w:marTop w:val="0"/>
          <w:marBottom w:val="0"/>
          <w:divBdr>
            <w:top w:val="none" w:sz="0" w:space="0" w:color="auto"/>
            <w:left w:val="none" w:sz="0" w:space="0" w:color="auto"/>
            <w:bottom w:val="none" w:sz="0" w:space="0" w:color="auto"/>
            <w:right w:val="none" w:sz="0" w:space="0" w:color="auto"/>
          </w:divBdr>
        </w:div>
      </w:divsChild>
    </w:div>
    <w:div w:id="1146968134">
      <w:bodyDiv w:val="1"/>
      <w:marLeft w:val="0"/>
      <w:marRight w:val="0"/>
      <w:marTop w:val="0"/>
      <w:marBottom w:val="0"/>
      <w:divBdr>
        <w:top w:val="none" w:sz="0" w:space="0" w:color="auto"/>
        <w:left w:val="none" w:sz="0" w:space="0" w:color="auto"/>
        <w:bottom w:val="none" w:sz="0" w:space="0" w:color="auto"/>
        <w:right w:val="none" w:sz="0" w:space="0" w:color="auto"/>
      </w:divBdr>
    </w:div>
    <w:div w:id="115422666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45337479">
      <w:bodyDiv w:val="1"/>
      <w:marLeft w:val="0"/>
      <w:marRight w:val="0"/>
      <w:marTop w:val="0"/>
      <w:marBottom w:val="0"/>
      <w:divBdr>
        <w:top w:val="none" w:sz="0" w:space="0" w:color="auto"/>
        <w:left w:val="none" w:sz="0" w:space="0" w:color="auto"/>
        <w:bottom w:val="none" w:sz="0" w:space="0" w:color="auto"/>
        <w:right w:val="none" w:sz="0" w:space="0" w:color="auto"/>
      </w:divBdr>
    </w:div>
    <w:div w:id="1248924277">
      <w:bodyDiv w:val="1"/>
      <w:marLeft w:val="0"/>
      <w:marRight w:val="0"/>
      <w:marTop w:val="0"/>
      <w:marBottom w:val="0"/>
      <w:divBdr>
        <w:top w:val="none" w:sz="0" w:space="0" w:color="auto"/>
        <w:left w:val="none" w:sz="0" w:space="0" w:color="auto"/>
        <w:bottom w:val="none" w:sz="0" w:space="0" w:color="auto"/>
        <w:right w:val="none" w:sz="0" w:space="0" w:color="auto"/>
      </w:divBdr>
      <w:divsChild>
        <w:div w:id="1687557100">
          <w:marLeft w:val="0"/>
          <w:marRight w:val="0"/>
          <w:marTop w:val="0"/>
          <w:marBottom w:val="0"/>
          <w:divBdr>
            <w:top w:val="none" w:sz="0" w:space="0" w:color="auto"/>
            <w:left w:val="none" w:sz="0" w:space="0" w:color="auto"/>
            <w:bottom w:val="none" w:sz="0" w:space="0" w:color="auto"/>
            <w:right w:val="none" w:sz="0" w:space="0" w:color="auto"/>
          </w:divBdr>
          <w:divsChild>
            <w:div w:id="2032760963">
              <w:marLeft w:val="0"/>
              <w:marRight w:val="0"/>
              <w:marTop w:val="0"/>
              <w:marBottom w:val="0"/>
              <w:divBdr>
                <w:top w:val="none" w:sz="0" w:space="0" w:color="auto"/>
                <w:left w:val="none" w:sz="0" w:space="0" w:color="auto"/>
                <w:bottom w:val="none" w:sz="0" w:space="0" w:color="auto"/>
                <w:right w:val="none" w:sz="0" w:space="0" w:color="auto"/>
              </w:divBdr>
              <w:divsChild>
                <w:div w:id="1362776797">
                  <w:marLeft w:val="0"/>
                  <w:marRight w:val="0"/>
                  <w:marTop w:val="0"/>
                  <w:marBottom w:val="0"/>
                  <w:divBdr>
                    <w:top w:val="none" w:sz="0" w:space="0" w:color="auto"/>
                    <w:left w:val="none" w:sz="0" w:space="0" w:color="auto"/>
                    <w:bottom w:val="none" w:sz="0" w:space="0" w:color="auto"/>
                    <w:right w:val="none" w:sz="0" w:space="0" w:color="auto"/>
                  </w:divBdr>
                  <w:divsChild>
                    <w:div w:id="1656110109">
                      <w:marLeft w:val="0"/>
                      <w:marRight w:val="0"/>
                      <w:marTop w:val="0"/>
                      <w:marBottom w:val="0"/>
                      <w:divBdr>
                        <w:top w:val="none" w:sz="0" w:space="0" w:color="auto"/>
                        <w:left w:val="none" w:sz="0" w:space="0" w:color="auto"/>
                        <w:bottom w:val="none" w:sz="0" w:space="0" w:color="auto"/>
                        <w:right w:val="none" w:sz="0" w:space="0" w:color="auto"/>
                      </w:divBdr>
                      <w:divsChild>
                        <w:div w:id="255792105">
                          <w:marLeft w:val="0"/>
                          <w:marRight w:val="0"/>
                          <w:marTop w:val="0"/>
                          <w:marBottom w:val="0"/>
                          <w:divBdr>
                            <w:top w:val="none" w:sz="0" w:space="0" w:color="auto"/>
                            <w:left w:val="none" w:sz="0" w:space="0" w:color="auto"/>
                            <w:bottom w:val="none" w:sz="0" w:space="0" w:color="auto"/>
                            <w:right w:val="none" w:sz="0" w:space="0" w:color="auto"/>
                          </w:divBdr>
                          <w:divsChild>
                            <w:div w:id="164380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4196347">
      <w:bodyDiv w:val="1"/>
      <w:marLeft w:val="0"/>
      <w:marRight w:val="0"/>
      <w:marTop w:val="0"/>
      <w:marBottom w:val="0"/>
      <w:divBdr>
        <w:top w:val="none" w:sz="0" w:space="0" w:color="auto"/>
        <w:left w:val="none" w:sz="0" w:space="0" w:color="auto"/>
        <w:bottom w:val="none" w:sz="0" w:space="0" w:color="auto"/>
        <w:right w:val="none" w:sz="0" w:space="0" w:color="auto"/>
      </w:divBdr>
      <w:divsChild>
        <w:div w:id="385762948">
          <w:marLeft w:val="0"/>
          <w:marRight w:val="0"/>
          <w:marTop w:val="0"/>
          <w:marBottom w:val="0"/>
          <w:divBdr>
            <w:top w:val="none" w:sz="0" w:space="0" w:color="auto"/>
            <w:left w:val="none" w:sz="0" w:space="0" w:color="auto"/>
            <w:bottom w:val="none" w:sz="0" w:space="0" w:color="auto"/>
            <w:right w:val="none" w:sz="0" w:space="0" w:color="auto"/>
          </w:divBdr>
          <w:divsChild>
            <w:div w:id="2005164233">
              <w:marLeft w:val="0"/>
              <w:marRight w:val="0"/>
              <w:marTop w:val="0"/>
              <w:marBottom w:val="0"/>
              <w:divBdr>
                <w:top w:val="none" w:sz="0" w:space="0" w:color="auto"/>
                <w:left w:val="none" w:sz="0" w:space="0" w:color="auto"/>
                <w:bottom w:val="none" w:sz="0" w:space="0" w:color="auto"/>
                <w:right w:val="none" w:sz="0" w:space="0" w:color="auto"/>
              </w:divBdr>
              <w:divsChild>
                <w:div w:id="1125076610">
                  <w:marLeft w:val="0"/>
                  <w:marRight w:val="0"/>
                  <w:marTop w:val="0"/>
                  <w:marBottom w:val="0"/>
                  <w:divBdr>
                    <w:top w:val="none" w:sz="0" w:space="0" w:color="auto"/>
                    <w:left w:val="none" w:sz="0" w:space="0" w:color="auto"/>
                    <w:bottom w:val="none" w:sz="0" w:space="0" w:color="auto"/>
                    <w:right w:val="none" w:sz="0" w:space="0" w:color="auto"/>
                  </w:divBdr>
                  <w:divsChild>
                    <w:div w:id="2087989466">
                      <w:marLeft w:val="0"/>
                      <w:marRight w:val="0"/>
                      <w:marTop w:val="0"/>
                      <w:marBottom w:val="0"/>
                      <w:divBdr>
                        <w:top w:val="none" w:sz="0" w:space="0" w:color="auto"/>
                        <w:left w:val="none" w:sz="0" w:space="0" w:color="auto"/>
                        <w:bottom w:val="none" w:sz="0" w:space="0" w:color="auto"/>
                        <w:right w:val="none" w:sz="0" w:space="0" w:color="auto"/>
                      </w:divBdr>
                      <w:divsChild>
                        <w:div w:id="122698015">
                          <w:marLeft w:val="0"/>
                          <w:marRight w:val="0"/>
                          <w:marTop w:val="0"/>
                          <w:marBottom w:val="0"/>
                          <w:divBdr>
                            <w:top w:val="none" w:sz="0" w:space="0" w:color="auto"/>
                            <w:left w:val="none" w:sz="0" w:space="0" w:color="auto"/>
                            <w:bottom w:val="none" w:sz="0" w:space="0" w:color="auto"/>
                            <w:right w:val="none" w:sz="0" w:space="0" w:color="auto"/>
                          </w:divBdr>
                          <w:divsChild>
                            <w:div w:id="81448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9073636">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2127413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94347851">
      <w:bodyDiv w:val="1"/>
      <w:marLeft w:val="0"/>
      <w:marRight w:val="0"/>
      <w:marTop w:val="0"/>
      <w:marBottom w:val="0"/>
      <w:divBdr>
        <w:top w:val="none" w:sz="0" w:space="0" w:color="auto"/>
        <w:left w:val="none" w:sz="0" w:space="0" w:color="auto"/>
        <w:bottom w:val="none" w:sz="0" w:space="0" w:color="auto"/>
        <w:right w:val="none" w:sz="0" w:space="0" w:color="auto"/>
      </w:divBdr>
    </w:div>
    <w:div w:id="1418358663">
      <w:bodyDiv w:val="1"/>
      <w:marLeft w:val="0"/>
      <w:marRight w:val="0"/>
      <w:marTop w:val="0"/>
      <w:marBottom w:val="0"/>
      <w:divBdr>
        <w:top w:val="none" w:sz="0" w:space="0" w:color="auto"/>
        <w:left w:val="none" w:sz="0" w:space="0" w:color="auto"/>
        <w:bottom w:val="none" w:sz="0" w:space="0" w:color="auto"/>
        <w:right w:val="none" w:sz="0" w:space="0" w:color="auto"/>
      </w:divBdr>
    </w:div>
    <w:div w:id="1423451210">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428961370">
      <w:bodyDiv w:val="1"/>
      <w:marLeft w:val="0"/>
      <w:marRight w:val="0"/>
      <w:marTop w:val="0"/>
      <w:marBottom w:val="0"/>
      <w:divBdr>
        <w:top w:val="none" w:sz="0" w:space="0" w:color="auto"/>
        <w:left w:val="none" w:sz="0" w:space="0" w:color="auto"/>
        <w:bottom w:val="none" w:sz="0" w:space="0" w:color="auto"/>
        <w:right w:val="none" w:sz="0" w:space="0" w:color="auto"/>
      </w:divBdr>
    </w:div>
    <w:div w:id="1455322113">
      <w:bodyDiv w:val="1"/>
      <w:marLeft w:val="0"/>
      <w:marRight w:val="0"/>
      <w:marTop w:val="0"/>
      <w:marBottom w:val="0"/>
      <w:divBdr>
        <w:top w:val="none" w:sz="0" w:space="0" w:color="auto"/>
        <w:left w:val="none" w:sz="0" w:space="0" w:color="auto"/>
        <w:bottom w:val="none" w:sz="0" w:space="0" w:color="auto"/>
        <w:right w:val="none" w:sz="0" w:space="0" w:color="auto"/>
      </w:divBdr>
    </w:div>
    <w:div w:id="1468619615">
      <w:bodyDiv w:val="1"/>
      <w:marLeft w:val="0"/>
      <w:marRight w:val="0"/>
      <w:marTop w:val="0"/>
      <w:marBottom w:val="0"/>
      <w:divBdr>
        <w:top w:val="none" w:sz="0" w:space="0" w:color="auto"/>
        <w:left w:val="none" w:sz="0" w:space="0" w:color="auto"/>
        <w:bottom w:val="none" w:sz="0" w:space="0" w:color="auto"/>
        <w:right w:val="none" w:sz="0" w:space="0" w:color="auto"/>
      </w:divBdr>
    </w:div>
    <w:div w:id="1485899560">
      <w:bodyDiv w:val="1"/>
      <w:marLeft w:val="0"/>
      <w:marRight w:val="0"/>
      <w:marTop w:val="0"/>
      <w:marBottom w:val="0"/>
      <w:divBdr>
        <w:top w:val="none" w:sz="0" w:space="0" w:color="auto"/>
        <w:left w:val="none" w:sz="0" w:space="0" w:color="auto"/>
        <w:bottom w:val="none" w:sz="0" w:space="0" w:color="auto"/>
        <w:right w:val="none" w:sz="0" w:space="0" w:color="auto"/>
      </w:divBdr>
      <w:divsChild>
        <w:div w:id="1742024379">
          <w:marLeft w:val="0"/>
          <w:marRight w:val="0"/>
          <w:marTop w:val="0"/>
          <w:marBottom w:val="0"/>
          <w:divBdr>
            <w:top w:val="none" w:sz="0" w:space="0" w:color="auto"/>
            <w:left w:val="none" w:sz="0" w:space="0" w:color="auto"/>
            <w:bottom w:val="none" w:sz="0" w:space="0" w:color="auto"/>
            <w:right w:val="none" w:sz="0" w:space="0" w:color="auto"/>
          </w:divBdr>
          <w:divsChild>
            <w:div w:id="1331106323">
              <w:marLeft w:val="0"/>
              <w:marRight w:val="0"/>
              <w:marTop w:val="0"/>
              <w:marBottom w:val="0"/>
              <w:divBdr>
                <w:top w:val="none" w:sz="0" w:space="0" w:color="auto"/>
                <w:left w:val="none" w:sz="0" w:space="0" w:color="auto"/>
                <w:bottom w:val="none" w:sz="0" w:space="0" w:color="auto"/>
                <w:right w:val="none" w:sz="0" w:space="0" w:color="auto"/>
              </w:divBdr>
              <w:divsChild>
                <w:div w:id="936909761">
                  <w:marLeft w:val="0"/>
                  <w:marRight w:val="0"/>
                  <w:marTop w:val="0"/>
                  <w:marBottom w:val="0"/>
                  <w:divBdr>
                    <w:top w:val="none" w:sz="0" w:space="0" w:color="auto"/>
                    <w:left w:val="none" w:sz="0" w:space="0" w:color="auto"/>
                    <w:bottom w:val="none" w:sz="0" w:space="0" w:color="auto"/>
                    <w:right w:val="none" w:sz="0" w:space="0" w:color="auto"/>
                  </w:divBdr>
                  <w:divsChild>
                    <w:div w:id="470288012">
                      <w:marLeft w:val="0"/>
                      <w:marRight w:val="0"/>
                      <w:marTop w:val="0"/>
                      <w:marBottom w:val="0"/>
                      <w:divBdr>
                        <w:top w:val="none" w:sz="0" w:space="0" w:color="auto"/>
                        <w:left w:val="none" w:sz="0" w:space="0" w:color="auto"/>
                        <w:bottom w:val="none" w:sz="0" w:space="0" w:color="auto"/>
                        <w:right w:val="none" w:sz="0" w:space="0" w:color="auto"/>
                      </w:divBdr>
                      <w:divsChild>
                        <w:div w:id="527524761">
                          <w:marLeft w:val="0"/>
                          <w:marRight w:val="0"/>
                          <w:marTop w:val="0"/>
                          <w:marBottom w:val="0"/>
                          <w:divBdr>
                            <w:top w:val="none" w:sz="0" w:space="0" w:color="auto"/>
                            <w:left w:val="none" w:sz="0" w:space="0" w:color="auto"/>
                            <w:bottom w:val="none" w:sz="0" w:space="0" w:color="auto"/>
                            <w:right w:val="none" w:sz="0" w:space="0" w:color="auto"/>
                          </w:divBdr>
                          <w:divsChild>
                            <w:div w:id="86031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2399002">
      <w:bodyDiv w:val="1"/>
      <w:marLeft w:val="0"/>
      <w:marRight w:val="0"/>
      <w:marTop w:val="0"/>
      <w:marBottom w:val="0"/>
      <w:divBdr>
        <w:top w:val="none" w:sz="0" w:space="0" w:color="auto"/>
        <w:left w:val="none" w:sz="0" w:space="0" w:color="auto"/>
        <w:bottom w:val="none" w:sz="0" w:space="0" w:color="auto"/>
        <w:right w:val="none" w:sz="0" w:space="0" w:color="auto"/>
      </w:divBdr>
    </w:div>
    <w:div w:id="1545484931">
      <w:bodyDiv w:val="1"/>
      <w:marLeft w:val="0"/>
      <w:marRight w:val="0"/>
      <w:marTop w:val="0"/>
      <w:marBottom w:val="0"/>
      <w:divBdr>
        <w:top w:val="none" w:sz="0" w:space="0" w:color="auto"/>
        <w:left w:val="none" w:sz="0" w:space="0" w:color="auto"/>
        <w:bottom w:val="none" w:sz="0" w:space="0" w:color="auto"/>
        <w:right w:val="none" w:sz="0" w:space="0" w:color="auto"/>
      </w:divBdr>
    </w:div>
    <w:div w:id="1556548489">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07613045">
      <w:bodyDiv w:val="1"/>
      <w:marLeft w:val="0"/>
      <w:marRight w:val="0"/>
      <w:marTop w:val="0"/>
      <w:marBottom w:val="0"/>
      <w:divBdr>
        <w:top w:val="none" w:sz="0" w:space="0" w:color="auto"/>
        <w:left w:val="none" w:sz="0" w:space="0" w:color="auto"/>
        <w:bottom w:val="none" w:sz="0" w:space="0" w:color="auto"/>
        <w:right w:val="none" w:sz="0" w:space="0" w:color="auto"/>
      </w:divBdr>
    </w:div>
    <w:div w:id="1634559791">
      <w:bodyDiv w:val="1"/>
      <w:marLeft w:val="0"/>
      <w:marRight w:val="0"/>
      <w:marTop w:val="0"/>
      <w:marBottom w:val="0"/>
      <w:divBdr>
        <w:top w:val="none" w:sz="0" w:space="0" w:color="auto"/>
        <w:left w:val="none" w:sz="0" w:space="0" w:color="auto"/>
        <w:bottom w:val="none" w:sz="0" w:space="0" w:color="auto"/>
        <w:right w:val="none" w:sz="0" w:space="0" w:color="auto"/>
      </w:divBdr>
    </w:div>
    <w:div w:id="1636444387">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83580143">
      <w:bodyDiv w:val="1"/>
      <w:marLeft w:val="0"/>
      <w:marRight w:val="0"/>
      <w:marTop w:val="0"/>
      <w:marBottom w:val="0"/>
      <w:divBdr>
        <w:top w:val="none" w:sz="0" w:space="0" w:color="auto"/>
        <w:left w:val="none" w:sz="0" w:space="0" w:color="auto"/>
        <w:bottom w:val="none" w:sz="0" w:space="0" w:color="auto"/>
        <w:right w:val="none" w:sz="0" w:space="0" w:color="auto"/>
      </w:divBdr>
    </w:div>
    <w:div w:id="1742874621">
      <w:bodyDiv w:val="1"/>
      <w:marLeft w:val="0"/>
      <w:marRight w:val="0"/>
      <w:marTop w:val="0"/>
      <w:marBottom w:val="0"/>
      <w:divBdr>
        <w:top w:val="none" w:sz="0" w:space="0" w:color="auto"/>
        <w:left w:val="none" w:sz="0" w:space="0" w:color="auto"/>
        <w:bottom w:val="none" w:sz="0" w:space="0" w:color="auto"/>
        <w:right w:val="none" w:sz="0" w:space="0" w:color="auto"/>
      </w:divBdr>
    </w:div>
    <w:div w:id="1750541028">
      <w:bodyDiv w:val="1"/>
      <w:marLeft w:val="0"/>
      <w:marRight w:val="0"/>
      <w:marTop w:val="0"/>
      <w:marBottom w:val="0"/>
      <w:divBdr>
        <w:top w:val="none" w:sz="0" w:space="0" w:color="auto"/>
        <w:left w:val="none" w:sz="0" w:space="0" w:color="auto"/>
        <w:bottom w:val="none" w:sz="0" w:space="0" w:color="auto"/>
        <w:right w:val="none" w:sz="0" w:space="0" w:color="auto"/>
      </w:divBdr>
    </w:div>
    <w:div w:id="1753702775">
      <w:bodyDiv w:val="1"/>
      <w:marLeft w:val="0"/>
      <w:marRight w:val="0"/>
      <w:marTop w:val="0"/>
      <w:marBottom w:val="0"/>
      <w:divBdr>
        <w:top w:val="none" w:sz="0" w:space="0" w:color="auto"/>
        <w:left w:val="none" w:sz="0" w:space="0" w:color="auto"/>
        <w:bottom w:val="none" w:sz="0" w:space="0" w:color="auto"/>
        <w:right w:val="none" w:sz="0" w:space="0" w:color="auto"/>
      </w:divBdr>
    </w:div>
    <w:div w:id="1759474623">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14779442">
      <w:bodyDiv w:val="1"/>
      <w:marLeft w:val="0"/>
      <w:marRight w:val="0"/>
      <w:marTop w:val="0"/>
      <w:marBottom w:val="0"/>
      <w:divBdr>
        <w:top w:val="none" w:sz="0" w:space="0" w:color="auto"/>
        <w:left w:val="none" w:sz="0" w:space="0" w:color="auto"/>
        <w:bottom w:val="none" w:sz="0" w:space="0" w:color="auto"/>
        <w:right w:val="none" w:sz="0" w:space="0" w:color="auto"/>
      </w:divBdr>
    </w:div>
    <w:div w:id="1917015124">
      <w:bodyDiv w:val="1"/>
      <w:marLeft w:val="0"/>
      <w:marRight w:val="0"/>
      <w:marTop w:val="0"/>
      <w:marBottom w:val="0"/>
      <w:divBdr>
        <w:top w:val="none" w:sz="0" w:space="0" w:color="auto"/>
        <w:left w:val="none" w:sz="0" w:space="0" w:color="auto"/>
        <w:bottom w:val="none" w:sz="0" w:space="0" w:color="auto"/>
        <w:right w:val="none" w:sz="0" w:space="0" w:color="auto"/>
      </w:divBdr>
      <w:divsChild>
        <w:div w:id="192697193">
          <w:marLeft w:val="0"/>
          <w:marRight w:val="0"/>
          <w:marTop w:val="0"/>
          <w:marBottom w:val="0"/>
          <w:divBdr>
            <w:top w:val="none" w:sz="0" w:space="0" w:color="auto"/>
            <w:left w:val="none" w:sz="0" w:space="0" w:color="auto"/>
            <w:bottom w:val="none" w:sz="0" w:space="0" w:color="auto"/>
            <w:right w:val="none" w:sz="0" w:space="0" w:color="auto"/>
          </w:divBdr>
          <w:divsChild>
            <w:div w:id="1177771665">
              <w:marLeft w:val="0"/>
              <w:marRight w:val="0"/>
              <w:marTop w:val="0"/>
              <w:marBottom w:val="0"/>
              <w:divBdr>
                <w:top w:val="none" w:sz="0" w:space="0" w:color="auto"/>
                <w:left w:val="none" w:sz="0" w:space="0" w:color="auto"/>
                <w:bottom w:val="none" w:sz="0" w:space="0" w:color="auto"/>
                <w:right w:val="none" w:sz="0" w:space="0" w:color="auto"/>
              </w:divBdr>
              <w:divsChild>
                <w:div w:id="282150698">
                  <w:marLeft w:val="0"/>
                  <w:marRight w:val="0"/>
                  <w:marTop w:val="0"/>
                  <w:marBottom w:val="0"/>
                  <w:divBdr>
                    <w:top w:val="none" w:sz="0" w:space="0" w:color="auto"/>
                    <w:left w:val="none" w:sz="0" w:space="0" w:color="auto"/>
                    <w:bottom w:val="none" w:sz="0" w:space="0" w:color="auto"/>
                    <w:right w:val="none" w:sz="0" w:space="0" w:color="auto"/>
                  </w:divBdr>
                  <w:divsChild>
                    <w:div w:id="190345541">
                      <w:marLeft w:val="0"/>
                      <w:marRight w:val="0"/>
                      <w:marTop w:val="0"/>
                      <w:marBottom w:val="0"/>
                      <w:divBdr>
                        <w:top w:val="none" w:sz="0" w:space="0" w:color="auto"/>
                        <w:left w:val="none" w:sz="0" w:space="0" w:color="auto"/>
                        <w:bottom w:val="none" w:sz="0" w:space="0" w:color="auto"/>
                        <w:right w:val="none" w:sz="0" w:space="0" w:color="auto"/>
                      </w:divBdr>
                      <w:divsChild>
                        <w:div w:id="389812939">
                          <w:marLeft w:val="0"/>
                          <w:marRight w:val="0"/>
                          <w:marTop w:val="0"/>
                          <w:marBottom w:val="0"/>
                          <w:divBdr>
                            <w:top w:val="none" w:sz="0" w:space="0" w:color="auto"/>
                            <w:left w:val="none" w:sz="0" w:space="0" w:color="auto"/>
                            <w:bottom w:val="none" w:sz="0" w:space="0" w:color="auto"/>
                            <w:right w:val="none" w:sz="0" w:space="0" w:color="auto"/>
                          </w:divBdr>
                          <w:divsChild>
                            <w:div w:id="597522287">
                              <w:marLeft w:val="0"/>
                              <w:marRight w:val="0"/>
                              <w:marTop w:val="0"/>
                              <w:marBottom w:val="0"/>
                              <w:divBdr>
                                <w:top w:val="none" w:sz="0" w:space="0" w:color="auto"/>
                                <w:left w:val="none" w:sz="0" w:space="0" w:color="auto"/>
                                <w:bottom w:val="none" w:sz="0" w:space="0" w:color="auto"/>
                                <w:right w:val="none" w:sz="0" w:space="0" w:color="auto"/>
                              </w:divBdr>
                              <w:divsChild>
                                <w:div w:id="1427112554">
                                  <w:marLeft w:val="0"/>
                                  <w:marRight w:val="0"/>
                                  <w:marTop w:val="0"/>
                                  <w:marBottom w:val="0"/>
                                  <w:divBdr>
                                    <w:top w:val="none" w:sz="0" w:space="0" w:color="auto"/>
                                    <w:left w:val="none" w:sz="0" w:space="0" w:color="auto"/>
                                    <w:bottom w:val="none" w:sz="0" w:space="0" w:color="auto"/>
                                    <w:right w:val="none" w:sz="0" w:space="0" w:color="auto"/>
                                  </w:divBdr>
                                  <w:divsChild>
                                    <w:div w:id="161254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7418869">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1983076673">
      <w:bodyDiv w:val="1"/>
      <w:marLeft w:val="0"/>
      <w:marRight w:val="0"/>
      <w:marTop w:val="0"/>
      <w:marBottom w:val="0"/>
      <w:divBdr>
        <w:top w:val="none" w:sz="0" w:space="0" w:color="auto"/>
        <w:left w:val="none" w:sz="0" w:space="0" w:color="auto"/>
        <w:bottom w:val="none" w:sz="0" w:space="0" w:color="auto"/>
        <w:right w:val="none" w:sz="0" w:space="0" w:color="auto"/>
      </w:divBdr>
    </w:div>
    <w:div w:id="1998141974">
      <w:bodyDiv w:val="1"/>
      <w:marLeft w:val="0"/>
      <w:marRight w:val="0"/>
      <w:marTop w:val="0"/>
      <w:marBottom w:val="0"/>
      <w:divBdr>
        <w:top w:val="none" w:sz="0" w:space="0" w:color="auto"/>
        <w:left w:val="none" w:sz="0" w:space="0" w:color="auto"/>
        <w:bottom w:val="none" w:sz="0" w:space="0" w:color="auto"/>
        <w:right w:val="none" w:sz="0" w:space="0" w:color="auto"/>
      </w:divBdr>
      <w:divsChild>
        <w:div w:id="855925436">
          <w:marLeft w:val="0"/>
          <w:marRight w:val="0"/>
          <w:marTop w:val="0"/>
          <w:marBottom w:val="0"/>
          <w:divBdr>
            <w:top w:val="none" w:sz="0" w:space="0" w:color="auto"/>
            <w:left w:val="none" w:sz="0" w:space="0" w:color="auto"/>
            <w:bottom w:val="none" w:sz="0" w:space="0" w:color="auto"/>
            <w:right w:val="none" w:sz="0" w:space="0" w:color="auto"/>
          </w:divBdr>
        </w:div>
      </w:divsChild>
    </w:div>
    <w:div w:id="2039812915">
      <w:bodyDiv w:val="1"/>
      <w:marLeft w:val="0"/>
      <w:marRight w:val="0"/>
      <w:marTop w:val="0"/>
      <w:marBottom w:val="0"/>
      <w:divBdr>
        <w:top w:val="none" w:sz="0" w:space="0" w:color="auto"/>
        <w:left w:val="none" w:sz="0" w:space="0" w:color="auto"/>
        <w:bottom w:val="none" w:sz="0" w:space="0" w:color="auto"/>
        <w:right w:val="none" w:sz="0" w:space="0" w:color="auto"/>
      </w:divBdr>
      <w:divsChild>
        <w:div w:id="270628825">
          <w:marLeft w:val="0"/>
          <w:marRight w:val="0"/>
          <w:marTop w:val="0"/>
          <w:marBottom w:val="0"/>
          <w:divBdr>
            <w:top w:val="none" w:sz="0" w:space="0" w:color="auto"/>
            <w:left w:val="none" w:sz="0" w:space="0" w:color="auto"/>
            <w:bottom w:val="none" w:sz="0" w:space="0" w:color="auto"/>
            <w:right w:val="none" w:sz="0" w:space="0" w:color="auto"/>
          </w:divBdr>
        </w:div>
      </w:divsChild>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 w:id="2050446466">
      <w:bodyDiv w:val="1"/>
      <w:marLeft w:val="0"/>
      <w:marRight w:val="0"/>
      <w:marTop w:val="0"/>
      <w:marBottom w:val="0"/>
      <w:divBdr>
        <w:top w:val="none" w:sz="0" w:space="0" w:color="auto"/>
        <w:left w:val="none" w:sz="0" w:space="0" w:color="auto"/>
        <w:bottom w:val="none" w:sz="0" w:space="0" w:color="auto"/>
        <w:right w:val="none" w:sz="0" w:space="0" w:color="auto"/>
      </w:divBdr>
    </w:div>
    <w:div w:id="20797878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6</Pages>
  <Words>2286</Words>
  <Characters>13035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15291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(Rudraksh)</cp:lastModifiedBy>
  <cp:revision>21</cp:revision>
  <cp:lastPrinted>2018-04-05T03:40:00Z</cp:lastPrinted>
  <dcterms:created xsi:type="dcterms:W3CDTF">2025-05-07T14:25:00Z</dcterms:created>
  <dcterms:modified xsi:type="dcterms:W3CDTF">2025-05-09T00:26:00Z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